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rFonts w:hint="eastAsia"/>
          <w:sz w:val="56"/>
          <w:szCs w:val="56"/>
        </w:rPr>
      </w:pPr>
    </w:p>
    <w:p>
      <w:pPr>
        <w:pStyle w:val="12"/>
        <w:jc w:val="center"/>
        <w:rPr>
          <w:sz w:val="56"/>
          <w:szCs w:val="56"/>
        </w:rPr>
      </w:pPr>
    </w:p>
    <w:p>
      <w:pPr>
        <w:pStyle w:val="12"/>
        <w:jc w:val="center"/>
        <w:rPr>
          <w:sz w:val="84"/>
          <w:szCs w:val="84"/>
        </w:rPr>
      </w:pPr>
    </w:p>
    <w:p>
      <w:pPr>
        <w:pStyle w:val="12"/>
        <w:jc w:val="center"/>
        <w:rPr>
          <w:sz w:val="84"/>
          <w:szCs w:val="84"/>
        </w:rPr>
      </w:pPr>
    </w:p>
    <w:p>
      <w:pPr>
        <w:pStyle w:val="12"/>
        <w:jc w:val="center"/>
        <w:rPr>
          <w:sz w:val="84"/>
          <w:szCs w:val="84"/>
        </w:rPr>
      </w:pPr>
      <w:r>
        <w:rPr>
          <w:rFonts w:hint="eastAsia"/>
          <w:sz w:val="84"/>
          <w:szCs w:val="84"/>
        </w:rPr>
        <w:t>2021年度</w:t>
      </w:r>
    </w:p>
    <w:p>
      <w:pPr>
        <w:pStyle w:val="12"/>
        <w:jc w:val="center"/>
        <w:rPr>
          <w:sz w:val="84"/>
          <w:szCs w:val="84"/>
        </w:rPr>
      </w:pPr>
      <w:r>
        <w:rPr>
          <w:rFonts w:hint="eastAsia"/>
          <w:sz w:val="84"/>
          <w:szCs w:val="84"/>
          <w:lang w:val="en-US" w:eastAsia="zh-CN"/>
        </w:rPr>
        <w:t>郴州市烈士公园（湘南起义纪念馆）</w:t>
      </w:r>
      <w:r>
        <w:rPr>
          <w:rFonts w:hint="eastAsia"/>
          <w:sz w:val="84"/>
          <w:szCs w:val="84"/>
        </w:rPr>
        <w:t>部门决算</w:t>
      </w: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32"/>
          <w:szCs w:val="32"/>
        </w:rPr>
      </w:pPr>
    </w:p>
    <w:p>
      <w:pPr>
        <w:pStyle w:val="12"/>
        <w:jc w:val="center"/>
        <w:rPr>
          <w:sz w:val="32"/>
          <w:szCs w:val="32"/>
        </w:rPr>
      </w:pPr>
    </w:p>
    <w:p>
      <w:pPr>
        <w:pStyle w:val="12"/>
        <w:jc w:val="center"/>
        <w:rPr>
          <w:sz w:val="32"/>
          <w:szCs w:val="32"/>
        </w:rPr>
      </w:pPr>
    </w:p>
    <w:p>
      <w:pPr>
        <w:pStyle w:val="12"/>
        <w:jc w:val="center"/>
        <w:rPr>
          <w:sz w:val="32"/>
          <w:szCs w:val="32"/>
        </w:rPr>
      </w:pPr>
    </w:p>
    <w:p>
      <w:pPr>
        <w:pStyle w:val="12"/>
        <w:jc w:val="center"/>
        <w:rPr>
          <w:sz w:val="32"/>
          <w:szCs w:val="32"/>
        </w:rPr>
      </w:pPr>
    </w:p>
    <w:p>
      <w:pPr>
        <w:pStyle w:val="12"/>
        <w:spacing w:line="540" w:lineRule="exact"/>
        <w:jc w:val="center"/>
        <w:rPr>
          <w:sz w:val="56"/>
          <w:szCs w:val="56"/>
        </w:rPr>
      </w:pPr>
    </w:p>
    <w:p>
      <w:pPr>
        <w:pStyle w:val="12"/>
        <w:spacing w:line="500" w:lineRule="exact"/>
        <w:jc w:val="center"/>
        <w:rPr>
          <w:b/>
          <w:sz w:val="36"/>
          <w:szCs w:val="28"/>
        </w:rPr>
      </w:pPr>
    </w:p>
    <w:p>
      <w:pPr>
        <w:pStyle w:val="12"/>
        <w:spacing w:line="500" w:lineRule="exact"/>
        <w:jc w:val="center"/>
        <w:rPr>
          <w:b/>
          <w:sz w:val="36"/>
          <w:szCs w:val="28"/>
        </w:rPr>
      </w:pPr>
    </w:p>
    <w:p>
      <w:pPr>
        <w:pStyle w:val="12"/>
        <w:spacing w:line="500" w:lineRule="exact"/>
        <w:jc w:val="center"/>
        <w:rPr>
          <w:b/>
          <w:sz w:val="36"/>
          <w:szCs w:val="28"/>
        </w:rPr>
      </w:pPr>
      <w:r>
        <w:rPr>
          <w:rFonts w:hint="eastAsia"/>
          <w:b/>
          <w:sz w:val="36"/>
          <w:szCs w:val="28"/>
        </w:rPr>
        <w:t>目录</w:t>
      </w:r>
    </w:p>
    <w:p>
      <w:pPr>
        <w:pStyle w:val="12"/>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郴州市烈士公园（湘南起义纪念馆</w:t>
      </w:r>
      <w:bookmarkStart w:id="3" w:name="_GoBack"/>
      <w:bookmarkEnd w:id="3"/>
      <w:r>
        <w:rPr>
          <w:rFonts w:hint="eastAsia"/>
          <w:b/>
          <w:sz w:val="28"/>
          <w:szCs w:val="28"/>
          <w:lang w:val="en-US" w:eastAsia="zh-CN"/>
        </w:rPr>
        <w:t>）</w:t>
      </w:r>
      <w:r>
        <w:rPr>
          <w:rFonts w:hint="eastAsia"/>
          <w:b/>
          <w:sz w:val="28"/>
          <w:szCs w:val="28"/>
        </w:rPr>
        <w:t>单位概况</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2"/>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2"/>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2"/>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2"/>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2"/>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2"/>
        <w:jc w:val="center"/>
        <w:rPr>
          <w:sz w:val="84"/>
          <w:szCs w:val="84"/>
        </w:rPr>
      </w:pPr>
      <w:r>
        <w:rPr>
          <w:rFonts w:hint="eastAsia"/>
          <w:sz w:val="84"/>
          <w:szCs w:val="84"/>
        </w:rPr>
        <w:t>第一部分</w:t>
      </w:r>
      <w:r>
        <w:rPr>
          <w:sz w:val="84"/>
          <w:szCs w:val="84"/>
        </w:rPr>
        <w:t xml:space="preserve"> </w:t>
      </w:r>
    </w:p>
    <w:p>
      <w:pPr>
        <w:pStyle w:val="12"/>
        <w:jc w:val="center"/>
        <w:rPr>
          <w:sz w:val="84"/>
          <w:szCs w:val="84"/>
        </w:rPr>
      </w:pPr>
    </w:p>
    <w:p>
      <w:pPr>
        <w:pStyle w:val="12"/>
        <w:jc w:val="center"/>
        <w:rPr>
          <w:sz w:val="84"/>
          <w:szCs w:val="84"/>
        </w:rPr>
      </w:pPr>
      <w:r>
        <w:rPr>
          <w:rFonts w:hint="eastAsia"/>
          <w:sz w:val="84"/>
          <w:szCs w:val="84"/>
          <w:lang w:val="en-US" w:eastAsia="zh-CN"/>
        </w:rPr>
        <w:t>郴州市烈士公园（湘南起义纪念馆）</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3"/>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（一）</w:t>
      </w:r>
      <w:r>
        <w:rPr>
          <w:rFonts w:hint="eastAsia" w:asciiTheme="minorEastAsia" w:hAnsiTheme="minorEastAsia"/>
          <w:bCs/>
          <w:kern w:val="0"/>
          <w:sz w:val="32"/>
          <w:szCs w:val="32"/>
        </w:rPr>
        <w:t>主要负责承担烈士公园的基础设施建设管理、园林绿化管护、森林防火和公共服务等工作；</w:t>
      </w:r>
    </w:p>
    <w:p>
      <w:pPr>
        <w:ind w:firstLine="800" w:firstLineChars="250"/>
        <w:jc w:val="left"/>
        <w:rPr>
          <w:rFonts w:hint="eastAsia" w:asciiTheme="minorEastAsia" w:hAnsiTheme="minorEastAsia"/>
          <w:bCs/>
          <w:kern w:val="0"/>
          <w:sz w:val="32"/>
          <w:szCs w:val="32"/>
        </w:rPr>
      </w:pPr>
      <w:r>
        <w:rPr>
          <w:rFonts w:hint="eastAsia" w:asciiTheme="minorEastAsia" w:hAnsiTheme="minorEastAsia"/>
          <w:sz w:val="32"/>
          <w:szCs w:val="32"/>
        </w:rPr>
        <w:t>（二）</w:t>
      </w:r>
      <w:r>
        <w:rPr>
          <w:rFonts w:hint="eastAsia" w:asciiTheme="minorEastAsia" w:hAnsiTheme="minorEastAsia"/>
          <w:bCs/>
          <w:kern w:val="0"/>
          <w:sz w:val="32"/>
          <w:szCs w:val="32"/>
        </w:rPr>
        <w:t>参与湘南起义旧址群的保护规划编制；承担湘南起义指挥部旧址不可移动文物的保护、修缮、利用和红色文物收集、保管等工作；</w:t>
      </w:r>
    </w:p>
    <w:p>
      <w:pPr>
        <w:widowControl/>
        <w:spacing w:line="600" w:lineRule="exact"/>
        <w:ind w:firstLine="640" w:firstLineChars="200"/>
        <w:rPr>
          <w:rFonts w:hint="eastAsia" w:asciiTheme="minorEastAsia" w:hAnsiTheme="minorEastAsia"/>
          <w:bCs/>
          <w:kern w:val="0"/>
          <w:sz w:val="32"/>
          <w:szCs w:val="32"/>
        </w:rPr>
      </w:pPr>
      <w:r>
        <w:rPr>
          <w:rFonts w:hint="eastAsia" w:ascii="黑体" w:hAnsi="黑体" w:eastAsia="黑体"/>
          <w:bCs/>
          <w:kern w:val="0"/>
          <w:sz w:val="32"/>
          <w:szCs w:val="32"/>
          <w:lang w:eastAsia="zh-CN"/>
        </w:rPr>
        <w:t>（三）</w:t>
      </w:r>
      <w:r>
        <w:rPr>
          <w:rFonts w:hint="eastAsia" w:asciiTheme="minorEastAsia" w:hAnsiTheme="minorEastAsia"/>
          <w:bCs/>
          <w:kern w:val="0"/>
          <w:sz w:val="32"/>
          <w:szCs w:val="32"/>
        </w:rPr>
        <w:t>承担湘南起义纪念馆的史料收集、挖掘、研究、陈列、展览以及红色文化宣教和培训活动等工作。</w:t>
      </w:r>
    </w:p>
    <w:p>
      <w:pPr>
        <w:widowControl/>
        <w:spacing w:line="600" w:lineRule="exact"/>
        <w:rPr>
          <w:rFonts w:hint="eastAsia" w:ascii="黑体" w:hAnsi="黑体" w:eastAsia="黑体"/>
          <w:bCs/>
          <w:kern w:val="0"/>
          <w:sz w:val="32"/>
          <w:szCs w:val="32"/>
        </w:rPr>
      </w:pPr>
      <w:r>
        <w:rPr>
          <w:rFonts w:hint="eastAsia" w:ascii="黑体" w:hAnsi="黑体" w:eastAsia="黑体"/>
          <w:bCs/>
          <w:kern w:val="0"/>
          <w:sz w:val="32"/>
          <w:szCs w:val="32"/>
        </w:rPr>
        <w:t>二、机构设置及决算单位构成</w:t>
      </w:r>
    </w:p>
    <w:p>
      <w:pPr>
        <w:snapToGrid w:val="0"/>
        <w:spacing w:line="52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eastAsia="zh-CN"/>
        </w:rPr>
        <w:t>郴州市烈士公园（湘南起义纪念馆）</w:t>
      </w:r>
      <w:r>
        <w:rPr>
          <w:rFonts w:hint="eastAsia" w:asciiTheme="minorEastAsia" w:hAnsiTheme="minorEastAsia"/>
          <w:bCs/>
          <w:kern w:val="0"/>
          <w:sz w:val="32"/>
          <w:szCs w:val="32"/>
        </w:rPr>
        <w:t>单位内设机构包括：办公室、财务</w:t>
      </w:r>
      <w:r>
        <w:rPr>
          <w:rFonts w:hint="eastAsia" w:asciiTheme="minorEastAsia" w:hAnsiTheme="minorEastAsia"/>
          <w:bCs/>
          <w:kern w:val="0"/>
          <w:sz w:val="32"/>
          <w:szCs w:val="32"/>
          <w:lang w:eastAsia="zh-CN"/>
        </w:rPr>
        <w:t>科</w:t>
      </w:r>
      <w:r>
        <w:rPr>
          <w:rFonts w:hint="eastAsia" w:asciiTheme="minorEastAsia" w:hAnsiTheme="minorEastAsia"/>
          <w:bCs/>
          <w:kern w:val="0"/>
          <w:sz w:val="32"/>
          <w:szCs w:val="32"/>
        </w:rPr>
        <w:t>、政工人事</w:t>
      </w:r>
      <w:r>
        <w:rPr>
          <w:rFonts w:hint="eastAsia" w:asciiTheme="minorEastAsia" w:hAnsiTheme="minorEastAsia"/>
          <w:bCs/>
          <w:kern w:val="0"/>
          <w:sz w:val="32"/>
          <w:szCs w:val="32"/>
          <w:lang w:eastAsia="zh-CN"/>
        </w:rPr>
        <w:t>科</w:t>
      </w:r>
      <w:r>
        <w:rPr>
          <w:rFonts w:hint="eastAsia" w:asciiTheme="minorEastAsia" w:hAnsiTheme="minorEastAsia"/>
          <w:bCs/>
          <w:kern w:val="0"/>
          <w:sz w:val="32"/>
          <w:szCs w:val="32"/>
        </w:rPr>
        <w:t>、</w:t>
      </w:r>
      <w:r>
        <w:rPr>
          <w:rFonts w:hint="eastAsia" w:asciiTheme="minorEastAsia" w:hAnsiTheme="minorEastAsia"/>
          <w:bCs/>
          <w:kern w:val="0"/>
          <w:sz w:val="32"/>
          <w:szCs w:val="32"/>
          <w:lang w:eastAsia="zh-CN"/>
        </w:rPr>
        <w:t>督察办、湘南起义旧址群管理科、</w:t>
      </w:r>
      <w:r>
        <w:rPr>
          <w:rFonts w:hint="eastAsia" w:asciiTheme="minorEastAsia" w:hAnsiTheme="minorEastAsia"/>
          <w:bCs/>
          <w:kern w:val="0"/>
          <w:sz w:val="32"/>
          <w:szCs w:val="32"/>
        </w:rPr>
        <w:t>规划陈列文物征集研究</w:t>
      </w:r>
      <w:r>
        <w:rPr>
          <w:rFonts w:hint="eastAsia" w:asciiTheme="minorEastAsia" w:hAnsiTheme="minorEastAsia"/>
          <w:bCs/>
          <w:kern w:val="0"/>
          <w:sz w:val="32"/>
          <w:szCs w:val="32"/>
          <w:lang w:eastAsia="zh-CN"/>
        </w:rPr>
        <w:t>办</w:t>
      </w:r>
      <w:r>
        <w:rPr>
          <w:rFonts w:hint="eastAsia" w:asciiTheme="minorEastAsia" w:hAnsiTheme="minorEastAsia"/>
          <w:bCs/>
          <w:kern w:val="0"/>
          <w:sz w:val="32"/>
          <w:szCs w:val="32"/>
        </w:rPr>
        <w:t>、纪念馆宣教</w:t>
      </w:r>
      <w:r>
        <w:rPr>
          <w:rFonts w:hint="eastAsia" w:asciiTheme="minorEastAsia" w:hAnsiTheme="minorEastAsia"/>
          <w:bCs/>
          <w:kern w:val="0"/>
          <w:sz w:val="32"/>
          <w:szCs w:val="32"/>
          <w:lang w:eastAsia="zh-CN"/>
        </w:rPr>
        <w:t>科</w:t>
      </w:r>
      <w:r>
        <w:rPr>
          <w:rFonts w:hint="eastAsia" w:asciiTheme="minorEastAsia" w:hAnsiTheme="minorEastAsia"/>
          <w:bCs/>
          <w:kern w:val="0"/>
          <w:sz w:val="32"/>
          <w:szCs w:val="32"/>
        </w:rPr>
        <w:t>、</w:t>
      </w:r>
      <w:r>
        <w:rPr>
          <w:rFonts w:hint="eastAsia" w:asciiTheme="minorEastAsia" w:hAnsiTheme="minorEastAsia"/>
          <w:bCs/>
          <w:kern w:val="0"/>
          <w:sz w:val="32"/>
          <w:szCs w:val="32"/>
          <w:lang w:eastAsia="zh-CN"/>
        </w:rPr>
        <w:t>陈家大屋旧址管理科、基础设施建设科、</w:t>
      </w:r>
      <w:r>
        <w:rPr>
          <w:rFonts w:hint="eastAsia" w:asciiTheme="minorEastAsia" w:hAnsiTheme="minorEastAsia"/>
          <w:bCs/>
          <w:kern w:val="0"/>
          <w:sz w:val="32"/>
          <w:szCs w:val="32"/>
        </w:rPr>
        <w:t>园林绿化管理</w:t>
      </w:r>
      <w:r>
        <w:rPr>
          <w:rFonts w:hint="eastAsia" w:asciiTheme="minorEastAsia" w:hAnsiTheme="minorEastAsia"/>
          <w:bCs/>
          <w:kern w:val="0"/>
          <w:sz w:val="32"/>
          <w:szCs w:val="32"/>
          <w:lang w:eastAsia="zh-CN"/>
        </w:rPr>
        <w:t>科、资产管理科、</w:t>
      </w:r>
      <w:r>
        <w:rPr>
          <w:rFonts w:hint="eastAsia" w:asciiTheme="minorEastAsia" w:hAnsiTheme="minorEastAsia"/>
          <w:bCs/>
          <w:kern w:val="0"/>
          <w:sz w:val="32"/>
          <w:szCs w:val="32"/>
        </w:rPr>
        <w:t>安保森防</w:t>
      </w:r>
      <w:r>
        <w:rPr>
          <w:rFonts w:hint="eastAsia" w:asciiTheme="minorEastAsia" w:hAnsiTheme="minorEastAsia"/>
          <w:bCs/>
          <w:kern w:val="0"/>
          <w:sz w:val="32"/>
          <w:szCs w:val="32"/>
          <w:lang w:eastAsia="zh-CN"/>
        </w:rPr>
        <w:t>办</w:t>
      </w:r>
      <w:r>
        <w:rPr>
          <w:rFonts w:hint="eastAsia" w:asciiTheme="minorEastAsia" w:hAnsiTheme="minorEastAsia"/>
          <w:bCs/>
          <w:kern w:val="0"/>
          <w:sz w:val="32"/>
          <w:szCs w:val="32"/>
          <w:lang w:val="en-US" w:eastAsia="zh-CN"/>
        </w:rPr>
        <w:t>12</w:t>
      </w:r>
      <w:r>
        <w:rPr>
          <w:rFonts w:hint="eastAsia" w:asciiTheme="minorEastAsia" w:hAnsiTheme="minorEastAsia"/>
          <w:bCs/>
          <w:kern w:val="0"/>
          <w:sz w:val="32"/>
          <w:szCs w:val="32"/>
        </w:rPr>
        <w:t>个</w:t>
      </w:r>
      <w:r>
        <w:rPr>
          <w:rFonts w:hint="eastAsia" w:asciiTheme="minorEastAsia" w:hAnsiTheme="minorEastAsia"/>
          <w:bCs/>
          <w:kern w:val="0"/>
          <w:sz w:val="32"/>
          <w:szCs w:val="32"/>
          <w:lang w:eastAsia="zh-CN"/>
        </w:rPr>
        <w:t>科</w:t>
      </w:r>
      <w:r>
        <w:rPr>
          <w:rFonts w:hint="eastAsia" w:asciiTheme="minorEastAsia" w:hAnsiTheme="minorEastAsia"/>
          <w:bCs/>
          <w:kern w:val="0"/>
          <w:sz w:val="32"/>
          <w:szCs w:val="32"/>
        </w:rPr>
        <w:t>室。</w:t>
      </w:r>
    </w:p>
    <w:p>
      <w:pPr>
        <w:widowControl/>
        <w:spacing w:line="600" w:lineRule="exact"/>
        <w:ind w:firstLine="640" w:firstLineChars="200"/>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eastAsia="zh-CN"/>
        </w:rPr>
        <w:t>郴州市烈士公园（湘南起义纪念馆）</w:t>
      </w:r>
      <w:r>
        <w:rPr>
          <w:rFonts w:hint="eastAsia" w:asciiTheme="minorEastAsia" w:hAnsiTheme="minorEastAsia"/>
          <w:bCs/>
          <w:kern w:val="0"/>
          <w:sz w:val="32"/>
          <w:szCs w:val="32"/>
        </w:rPr>
        <w:t>单位</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w:t>
      </w:r>
      <w:r>
        <w:rPr>
          <w:rFonts w:hint="eastAsia" w:asciiTheme="minorEastAsia" w:hAnsiTheme="minorEastAsia"/>
          <w:bCs/>
          <w:kern w:val="0"/>
          <w:sz w:val="32"/>
          <w:szCs w:val="32"/>
          <w:lang w:eastAsia="zh-CN"/>
        </w:rPr>
        <w:t>郴州市烈士公园（湘南起义纪念馆）</w:t>
      </w:r>
      <w:r>
        <w:rPr>
          <w:rFonts w:hint="eastAsia" w:asciiTheme="minorEastAsia" w:hAnsiTheme="minorEastAsia"/>
          <w:bCs/>
          <w:kern w:val="0"/>
          <w:sz w:val="32"/>
          <w:szCs w:val="32"/>
        </w:rPr>
        <w:t>单位本级</w:t>
      </w:r>
      <w:r>
        <w:rPr>
          <w:rFonts w:hint="eastAsia" w:asciiTheme="minorEastAsia" w:hAnsiTheme="minorEastAsia"/>
          <w:bCs/>
          <w:kern w:val="0"/>
          <w:sz w:val="32"/>
          <w:szCs w:val="32"/>
          <w:lang w:eastAsia="zh-CN"/>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7"/>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Theme="minorEastAsia" w:hAnsiTheme="minorEastAsia"/>
                <w:bCs/>
                <w:kern w:val="0"/>
                <w:sz w:val="20"/>
                <w:szCs w:val="20"/>
                <w:lang w:eastAsia="zh-CN"/>
              </w:rPr>
              <w:t>郴州市烈士公园（湘南起义纪念馆）</w:t>
            </w:r>
            <w:r>
              <w:rPr>
                <w:rFonts w:ascii="宋体" w:hAnsi="宋体" w:eastAsia="宋体" w:cs="宋体"/>
                <w:color w:val="000000"/>
                <w:kern w:val="0"/>
                <w:sz w:val="20"/>
                <w:szCs w:val="20"/>
              </w:rPr>
              <w:t xml:space="preserve">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1,162.50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103.65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1,159.79</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25.38</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41.91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0"/>
                <w:szCs w:val="20"/>
                <w:u w:val="none"/>
                <w:lang w:val="en-US" w:eastAsia="zh-CN" w:bidi="ar"/>
              </w:rPr>
              <w:t>12.87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0"/>
                <w:szCs w:val="20"/>
                <w:u w:val="none"/>
                <w:lang w:val="en-US" w:eastAsia="zh-CN" w:bidi="ar"/>
              </w:rPr>
              <w:t>18.02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0"/>
                <w:szCs w:val="20"/>
                <w:u w:val="none"/>
                <w:lang w:val="en-US" w:eastAsia="zh-CN" w:bidi="ar"/>
              </w:rPr>
              <w:t>27.45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1,187.88</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0"/>
                <w:szCs w:val="20"/>
                <w:u w:val="none"/>
                <w:lang w:val="en-US" w:eastAsia="zh-CN" w:bidi="ar"/>
              </w:rPr>
              <w:t>1,363.70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215.50</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39.68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1,403.38</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0"/>
                <w:szCs w:val="20"/>
                <w:u w:val="none"/>
                <w:lang w:val="en-US" w:eastAsia="zh-CN" w:bidi="ar"/>
              </w:rPr>
              <w:t>1,403.38</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7"/>
        <w:tblW w:w="14402" w:type="dxa"/>
        <w:tblInd w:w="0" w:type="dxa"/>
        <w:tblLayout w:type="autofit"/>
        <w:tblCellMar>
          <w:top w:w="0" w:type="dxa"/>
          <w:left w:w="0" w:type="dxa"/>
          <w:bottom w:w="0" w:type="dxa"/>
          <w:right w:w="0" w:type="dxa"/>
        </w:tblCellMar>
      </w:tblPr>
      <w:tblGrid>
        <w:gridCol w:w="688"/>
        <w:gridCol w:w="36"/>
        <w:gridCol w:w="3037"/>
        <w:gridCol w:w="1572"/>
        <w:gridCol w:w="1572"/>
        <w:gridCol w:w="1572"/>
        <w:gridCol w:w="1572"/>
        <w:gridCol w:w="1572"/>
        <w:gridCol w:w="1572"/>
        <w:gridCol w:w="2235"/>
      </w:tblGrid>
      <w:tr>
        <w:tblPrEx>
          <w:tblCellMar>
            <w:top w:w="0" w:type="dxa"/>
            <w:left w:w="0" w:type="dxa"/>
            <w:bottom w:w="0" w:type="dxa"/>
            <w:right w:w="0" w:type="dxa"/>
          </w:tblCellMar>
        </w:tblPrEx>
        <w:trPr>
          <w:trHeight w:val="435" w:hRule="atLeast"/>
        </w:trPr>
        <w:tc>
          <w:tcPr>
            <w:tcW w:w="14402"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asciiTheme="minorEastAsia" w:hAnsiTheme="minorEastAsia"/>
                <w:bCs/>
                <w:kern w:val="0"/>
                <w:sz w:val="20"/>
                <w:szCs w:val="20"/>
                <w:lang w:eastAsia="zh-CN"/>
              </w:rPr>
              <w:t>郴州市烈士公园（湘南起义纪念馆）</w:t>
            </w: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1999"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630"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36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1999"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ind w:firstLine="1600" w:firstLineChars="800"/>
              <w:jc w:val="both"/>
              <w:textAlignment w:val="center"/>
              <w:rPr>
                <w:rFonts w:ascii="宋体" w:hAnsi="宋体" w:eastAsia="宋体" w:cs="宋体"/>
                <w:sz w:val="24"/>
                <w:szCs w:val="24"/>
              </w:rPr>
            </w:pPr>
            <w:r>
              <w:rPr>
                <w:rFonts w:hint="eastAsia" w:ascii="宋体" w:hAnsi="宋体" w:eastAsia="宋体" w:cs="宋体"/>
                <w:i w:val="0"/>
                <w:iCs w:val="0"/>
                <w:color w:val="000000"/>
                <w:kern w:val="0"/>
                <w:sz w:val="20"/>
                <w:szCs w:val="20"/>
                <w:u w:val="none"/>
                <w:lang w:val="en-US" w:eastAsia="zh-CN" w:bidi="ar"/>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1,187.88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1,162.50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25.38</w:t>
            </w:r>
          </w:p>
        </w:tc>
      </w:tr>
      <w:tr>
        <w:tblPrEx>
          <w:tblCellMar>
            <w:top w:w="0" w:type="dxa"/>
            <w:left w:w="0" w:type="dxa"/>
            <w:bottom w:w="0" w:type="dxa"/>
            <w:right w:w="0" w:type="dxa"/>
          </w:tblCellMar>
        </w:tblPrEx>
        <w:trPr>
          <w:trHeight w:val="450" w:hRule="atLeast"/>
        </w:trPr>
        <w:tc>
          <w:tcPr>
            <w:tcW w:w="6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201</w:t>
            </w:r>
          </w:p>
        </w:tc>
        <w:tc>
          <w:tcPr>
            <w:tcW w:w="193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一般公共服务支出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103.65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103.65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6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20104</w:t>
            </w:r>
          </w:p>
        </w:tc>
        <w:tc>
          <w:tcPr>
            <w:tcW w:w="193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发展与改革事务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29.97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29.97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6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0"/>
                <w:szCs w:val="20"/>
                <w:u w:val="none"/>
                <w:lang w:val="en-US" w:eastAsia="zh-CN" w:bidi="ar"/>
              </w:rPr>
              <w:t>2010499</w:t>
            </w:r>
          </w:p>
        </w:tc>
        <w:tc>
          <w:tcPr>
            <w:tcW w:w="193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0"/>
                <w:szCs w:val="20"/>
                <w:u w:val="none"/>
                <w:lang w:val="en-US" w:eastAsia="zh-CN" w:bidi="ar"/>
              </w:rPr>
              <w:t xml:space="preserve">  其他发展与改革事务支出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29.97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29.97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0.00</w:t>
            </w: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6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20133</w:t>
            </w:r>
          </w:p>
        </w:tc>
        <w:tc>
          <w:tcPr>
            <w:tcW w:w="193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宣传事务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73.69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73.69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6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0"/>
                <w:szCs w:val="20"/>
                <w:u w:val="none"/>
                <w:lang w:val="en-US" w:eastAsia="zh-CN" w:bidi="ar"/>
              </w:rPr>
              <w:t>2013399</w:t>
            </w:r>
          </w:p>
        </w:tc>
        <w:tc>
          <w:tcPr>
            <w:tcW w:w="193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0"/>
                <w:szCs w:val="20"/>
                <w:u w:val="none"/>
                <w:lang w:val="en-US" w:eastAsia="zh-CN" w:bidi="ar"/>
              </w:rPr>
              <w:t xml:space="preserve">  其他宣传事务支出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73.69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73.69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0.00</w:t>
            </w: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6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207</w:t>
            </w:r>
          </w:p>
        </w:tc>
        <w:tc>
          <w:tcPr>
            <w:tcW w:w="193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文化旅游体育与传媒支出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986.05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986.05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6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20701</w:t>
            </w:r>
          </w:p>
        </w:tc>
        <w:tc>
          <w:tcPr>
            <w:tcW w:w="193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文化和旅游</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939.27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939.27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6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0"/>
                <w:szCs w:val="20"/>
                <w:u w:val="none"/>
                <w:lang w:val="en-US" w:eastAsia="zh-CN" w:bidi="ar"/>
              </w:rPr>
              <w:t>2070101</w:t>
            </w:r>
          </w:p>
        </w:tc>
        <w:tc>
          <w:tcPr>
            <w:tcW w:w="193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50.00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50.00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0.00</w:t>
            </w: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6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0"/>
                <w:szCs w:val="20"/>
                <w:u w:val="none"/>
                <w:lang w:val="en-US" w:eastAsia="zh-CN" w:bidi="ar"/>
              </w:rPr>
              <w:t>2070105</w:t>
            </w:r>
          </w:p>
        </w:tc>
        <w:tc>
          <w:tcPr>
            <w:tcW w:w="193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0"/>
                <w:szCs w:val="20"/>
                <w:u w:val="none"/>
                <w:lang w:val="en-US" w:eastAsia="zh-CN" w:bidi="ar"/>
              </w:rPr>
              <w:t xml:space="preserve">  文化展示及纪念机构</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889.27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889.27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0.00</w:t>
            </w: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6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20702</w:t>
            </w:r>
          </w:p>
        </w:tc>
        <w:tc>
          <w:tcPr>
            <w:tcW w:w="193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文物</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42.89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42.89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6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0"/>
                <w:szCs w:val="20"/>
                <w:u w:val="none"/>
                <w:lang w:val="en-US" w:eastAsia="zh-CN" w:bidi="ar"/>
              </w:rPr>
              <w:t>2070205</w:t>
            </w:r>
          </w:p>
        </w:tc>
        <w:tc>
          <w:tcPr>
            <w:tcW w:w="193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0"/>
                <w:szCs w:val="20"/>
                <w:u w:val="none"/>
                <w:lang w:val="en-US" w:eastAsia="zh-CN" w:bidi="ar"/>
              </w:rPr>
              <w:t xml:space="preserve">  博物馆</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42.89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42.89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0.00</w:t>
            </w: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6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20799</w:t>
            </w:r>
          </w:p>
        </w:tc>
        <w:tc>
          <w:tcPr>
            <w:tcW w:w="193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其他文化旅游体育与传媒支出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3.89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3.89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6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0"/>
                <w:szCs w:val="20"/>
                <w:u w:val="none"/>
                <w:lang w:val="en-US" w:eastAsia="zh-CN" w:bidi="ar"/>
              </w:rPr>
              <w:t>2079999</w:t>
            </w:r>
          </w:p>
        </w:tc>
        <w:tc>
          <w:tcPr>
            <w:tcW w:w="193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0"/>
                <w:szCs w:val="20"/>
                <w:u w:val="none"/>
                <w:lang w:val="en-US" w:eastAsia="zh-CN" w:bidi="ar"/>
              </w:rPr>
              <w:t xml:space="preserve">  其他文化旅游体育与传媒支出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3.89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3.89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0.00</w:t>
            </w: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6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208</w:t>
            </w:r>
          </w:p>
        </w:tc>
        <w:tc>
          <w:tcPr>
            <w:tcW w:w="193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41.91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41.91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6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20805</w:t>
            </w:r>
          </w:p>
        </w:tc>
        <w:tc>
          <w:tcPr>
            <w:tcW w:w="193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41.91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41.91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6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0"/>
                <w:szCs w:val="20"/>
                <w:u w:val="none"/>
                <w:lang w:val="en-US" w:eastAsia="zh-CN" w:bidi="ar"/>
              </w:rPr>
              <w:t>2080502</w:t>
            </w:r>
          </w:p>
        </w:tc>
        <w:tc>
          <w:tcPr>
            <w:tcW w:w="193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0"/>
                <w:szCs w:val="20"/>
                <w:u w:val="none"/>
                <w:lang w:val="en-US" w:eastAsia="zh-CN" w:bidi="ar"/>
              </w:rPr>
              <w:t xml:space="preserve">  事业单位离退休</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5.52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5.52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0.00</w:t>
            </w: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6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0"/>
                <w:szCs w:val="20"/>
                <w:u w:val="none"/>
                <w:lang w:val="en-US" w:eastAsia="zh-CN" w:bidi="ar"/>
              </w:rPr>
              <w:t>2080505</w:t>
            </w:r>
          </w:p>
        </w:tc>
        <w:tc>
          <w:tcPr>
            <w:tcW w:w="193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24.26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24.26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0.00</w:t>
            </w: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6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0"/>
                <w:szCs w:val="20"/>
                <w:u w:val="none"/>
                <w:lang w:val="en-US" w:eastAsia="zh-CN" w:bidi="ar"/>
              </w:rPr>
              <w:t>2080506</w:t>
            </w:r>
          </w:p>
        </w:tc>
        <w:tc>
          <w:tcPr>
            <w:tcW w:w="193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0"/>
                <w:szCs w:val="20"/>
                <w:u w:val="none"/>
                <w:lang w:val="en-US" w:eastAsia="zh-CN" w:bidi="ar"/>
              </w:rPr>
              <w:t xml:space="preserve">  机关事业单位职业年金缴费支出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12.13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12.13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0.00</w:t>
            </w: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6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210</w:t>
            </w:r>
          </w:p>
        </w:tc>
        <w:tc>
          <w:tcPr>
            <w:tcW w:w="193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卫生健康支出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12.87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12.87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6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21011</w:t>
            </w:r>
          </w:p>
        </w:tc>
        <w:tc>
          <w:tcPr>
            <w:tcW w:w="193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12.87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12.87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6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0"/>
                <w:szCs w:val="20"/>
                <w:u w:val="none"/>
                <w:lang w:val="en-US" w:eastAsia="zh-CN" w:bidi="ar"/>
              </w:rPr>
              <w:t>2101102</w:t>
            </w:r>
          </w:p>
        </w:tc>
        <w:tc>
          <w:tcPr>
            <w:tcW w:w="193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12.87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12.87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0.00</w:t>
            </w: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6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221</w:t>
            </w:r>
          </w:p>
        </w:tc>
        <w:tc>
          <w:tcPr>
            <w:tcW w:w="193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住房保障支出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18.02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18.02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6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22102</w:t>
            </w:r>
          </w:p>
        </w:tc>
        <w:tc>
          <w:tcPr>
            <w:tcW w:w="193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住房改革支出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18.02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18.02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6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0"/>
                <w:szCs w:val="20"/>
                <w:u w:val="none"/>
                <w:lang w:val="en-US" w:eastAsia="zh-CN" w:bidi="ar"/>
              </w:rPr>
              <w:t>2210201</w:t>
            </w:r>
          </w:p>
        </w:tc>
        <w:tc>
          <w:tcPr>
            <w:tcW w:w="193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0"/>
                <w:szCs w:val="20"/>
                <w:u w:val="none"/>
                <w:lang w:val="en-US" w:eastAsia="zh-CN" w:bidi="ar"/>
              </w:rPr>
              <w:t>18.02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0"/>
                <w:szCs w:val="20"/>
                <w:u w:val="none"/>
                <w:lang w:val="en-US" w:eastAsia="zh-CN" w:bidi="ar"/>
              </w:rPr>
              <w:t>18.02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6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229</w:t>
            </w:r>
          </w:p>
        </w:tc>
        <w:tc>
          <w:tcPr>
            <w:tcW w:w="193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其他支出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25.38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25.38</w:t>
            </w:r>
          </w:p>
        </w:tc>
      </w:tr>
      <w:tr>
        <w:tblPrEx>
          <w:tblCellMar>
            <w:top w:w="0" w:type="dxa"/>
            <w:left w:w="0" w:type="dxa"/>
            <w:bottom w:w="0" w:type="dxa"/>
            <w:right w:w="0" w:type="dxa"/>
          </w:tblCellMar>
        </w:tblPrEx>
        <w:trPr>
          <w:trHeight w:val="450" w:hRule="atLeast"/>
        </w:trPr>
        <w:tc>
          <w:tcPr>
            <w:tcW w:w="6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22999</w:t>
            </w:r>
          </w:p>
        </w:tc>
        <w:tc>
          <w:tcPr>
            <w:tcW w:w="193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其他支出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25.38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25.38</w:t>
            </w:r>
          </w:p>
        </w:tc>
      </w:tr>
      <w:tr>
        <w:tblPrEx>
          <w:tblCellMar>
            <w:top w:w="0" w:type="dxa"/>
            <w:left w:w="0" w:type="dxa"/>
            <w:bottom w:w="0" w:type="dxa"/>
            <w:right w:w="0" w:type="dxa"/>
          </w:tblCellMar>
        </w:tblPrEx>
        <w:trPr>
          <w:trHeight w:val="450" w:hRule="atLeast"/>
        </w:trPr>
        <w:tc>
          <w:tcPr>
            <w:tcW w:w="6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2299999</w:t>
            </w:r>
          </w:p>
        </w:tc>
        <w:tc>
          <w:tcPr>
            <w:tcW w:w="193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25.38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25.38</w:t>
            </w:r>
          </w:p>
        </w:tc>
      </w:tr>
      <w:tr>
        <w:tblPrEx>
          <w:tblCellMar>
            <w:top w:w="0" w:type="dxa"/>
            <w:left w:w="0" w:type="dxa"/>
            <w:bottom w:w="0" w:type="dxa"/>
            <w:right w:w="0" w:type="dxa"/>
          </w:tblCellMar>
        </w:tblPrEx>
        <w:trPr>
          <w:trHeight w:val="615" w:hRule="atLeast"/>
        </w:trPr>
        <w:tc>
          <w:tcPr>
            <w:tcW w:w="14402"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7"/>
        <w:tblW w:w="14818" w:type="dxa"/>
        <w:tblInd w:w="93" w:type="dxa"/>
        <w:tblLayout w:type="fixed"/>
        <w:tblCellMar>
          <w:top w:w="0" w:type="dxa"/>
          <w:left w:w="108" w:type="dxa"/>
          <w:bottom w:w="0" w:type="dxa"/>
          <w:right w:w="108" w:type="dxa"/>
        </w:tblCellMar>
      </w:tblPr>
      <w:tblGrid>
        <w:gridCol w:w="1042"/>
        <w:gridCol w:w="222"/>
        <w:gridCol w:w="2047"/>
        <w:gridCol w:w="1479"/>
        <w:gridCol w:w="1585"/>
        <w:gridCol w:w="1800"/>
        <w:gridCol w:w="1950"/>
        <w:gridCol w:w="1865"/>
        <w:gridCol w:w="2828"/>
      </w:tblGrid>
      <w:tr>
        <w:tblPrEx>
          <w:tblCellMar>
            <w:top w:w="0" w:type="dxa"/>
            <w:left w:w="108" w:type="dxa"/>
            <w:bottom w:w="0" w:type="dxa"/>
            <w:right w:w="108" w:type="dxa"/>
          </w:tblCellMar>
        </w:tblPrEx>
        <w:trPr>
          <w:trHeight w:val="435" w:hRule="atLeast"/>
        </w:trPr>
        <w:tc>
          <w:tcPr>
            <w:tcW w:w="14818"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04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8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0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5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6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82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04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Theme="minorEastAsia" w:hAnsiTheme="minorEastAsia"/>
                <w:bCs/>
                <w:kern w:val="0"/>
                <w:sz w:val="20"/>
                <w:szCs w:val="20"/>
                <w:lang w:eastAsia="zh-CN"/>
              </w:rPr>
              <w:t>郴州市烈士公园（湘南起义纪念馆）</w:t>
            </w:r>
            <w:r>
              <w:rPr>
                <w:rFonts w:hint="eastAsia" w:ascii="宋体" w:hAnsi="宋体" w:eastAsia="宋体" w:cs="宋体"/>
                <w:kern w:val="0"/>
                <w:sz w:val="24"/>
                <w:szCs w:val="24"/>
              </w:rPr>
              <w:t>　</w:t>
            </w:r>
          </w:p>
        </w:tc>
        <w:tc>
          <w:tcPr>
            <w:tcW w:w="14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8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00"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5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6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82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311"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4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58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80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95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86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82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1264"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04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4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5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8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04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5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8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311"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4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58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95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86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82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450" w:hRule="atLeast"/>
        </w:trPr>
        <w:tc>
          <w:tcPr>
            <w:tcW w:w="3311"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4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1,363.70</w:t>
            </w:r>
          </w:p>
        </w:tc>
        <w:tc>
          <w:tcPr>
            <w:tcW w:w="15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375.26</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988.45</w:t>
            </w:r>
          </w:p>
        </w:tc>
        <w:tc>
          <w:tcPr>
            <w:tcW w:w="19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8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28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201</w:t>
            </w:r>
          </w:p>
        </w:tc>
        <w:tc>
          <w:tcPr>
            <w:tcW w:w="204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一般公共服务支出</w:t>
            </w:r>
          </w:p>
        </w:tc>
        <w:tc>
          <w:tcPr>
            <w:tcW w:w="14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103.65</w:t>
            </w:r>
          </w:p>
        </w:tc>
        <w:tc>
          <w:tcPr>
            <w:tcW w:w="15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103.65</w:t>
            </w:r>
          </w:p>
        </w:tc>
        <w:tc>
          <w:tcPr>
            <w:tcW w:w="19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8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28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20104</w:t>
            </w:r>
          </w:p>
        </w:tc>
        <w:tc>
          <w:tcPr>
            <w:tcW w:w="204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发展与改革事务</w:t>
            </w:r>
          </w:p>
        </w:tc>
        <w:tc>
          <w:tcPr>
            <w:tcW w:w="14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29.97</w:t>
            </w:r>
          </w:p>
        </w:tc>
        <w:tc>
          <w:tcPr>
            <w:tcW w:w="15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29.97</w:t>
            </w:r>
          </w:p>
        </w:tc>
        <w:tc>
          <w:tcPr>
            <w:tcW w:w="19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8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28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2010499</w:t>
            </w:r>
          </w:p>
        </w:tc>
        <w:tc>
          <w:tcPr>
            <w:tcW w:w="204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 xml:space="preserve">  其他发展与改革事务支出</w:t>
            </w:r>
          </w:p>
        </w:tc>
        <w:tc>
          <w:tcPr>
            <w:tcW w:w="14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29.97</w:t>
            </w:r>
          </w:p>
        </w:tc>
        <w:tc>
          <w:tcPr>
            <w:tcW w:w="15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29.97</w:t>
            </w:r>
          </w:p>
        </w:tc>
        <w:tc>
          <w:tcPr>
            <w:tcW w:w="19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18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28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20133</w:t>
            </w:r>
          </w:p>
        </w:tc>
        <w:tc>
          <w:tcPr>
            <w:tcW w:w="204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宣传事务</w:t>
            </w:r>
          </w:p>
        </w:tc>
        <w:tc>
          <w:tcPr>
            <w:tcW w:w="14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73.69</w:t>
            </w:r>
          </w:p>
        </w:tc>
        <w:tc>
          <w:tcPr>
            <w:tcW w:w="15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73.69</w:t>
            </w:r>
          </w:p>
        </w:tc>
        <w:tc>
          <w:tcPr>
            <w:tcW w:w="19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8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28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2013399</w:t>
            </w:r>
          </w:p>
        </w:tc>
        <w:tc>
          <w:tcPr>
            <w:tcW w:w="204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 xml:space="preserve">  其他宣传事务支出</w:t>
            </w:r>
          </w:p>
        </w:tc>
        <w:tc>
          <w:tcPr>
            <w:tcW w:w="14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73.69</w:t>
            </w:r>
          </w:p>
        </w:tc>
        <w:tc>
          <w:tcPr>
            <w:tcW w:w="15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73.69</w:t>
            </w:r>
          </w:p>
        </w:tc>
        <w:tc>
          <w:tcPr>
            <w:tcW w:w="19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18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28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207</w:t>
            </w:r>
          </w:p>
        </w:tc>
        <w:tc>
          <w:tcPr>
            <w:tcW w:w="204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文化旅游体育与传媒支出</w:t>
            </w:r>
          </w:p>
        </w:tc>
        <w:tc>
          <w:tcPr>
            <w:tcW w:w="14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1,159.79</w:t>
            </w:r>
          </w:p>
        </w:tc>
        <w:tc>
          <w:tcPr>
            <w:tcW w:w="15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301.41</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858.38</w:t>
            </w:r>
          </w:p>
        </w:tc>
        <w:tc>
          <w:tcPr>
            <w:tcW w:w="19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8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28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20701</w:t>
            </w:r>
          </w:p>
        </w:tc>
        <w:tc>
          <w:tcPr>
            <w:tcW w:w="204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文化和旅游</w:t>
            </w:r>
          </w:p>
        </w:tc>
        <w:tc>
          <w:tcPr>
            <w:tcW w:w="14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1,041.54</w:t>
            </w:r>
          </w:p>
        </w:tc>
        <w:tc>
          <w:tcPr>
            <w:tcW w:w="15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298.52</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743.02</w:t>
            </w:r>
          </w:p>
        </w:tc>
        <w:tc>
          <w:tcPr>
            <w:tcW w:w="19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8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28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2070101</w:t>
            </w:r>
          </w:p>
        </w:tc>
        <w:tc>
          <w:tcPr>
            <w:tcW w:w="204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4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50.00</w:t>
            </w:r>
          </w:p>
        </w:tc>
        <w:tc>
          <w:tcPr>
            <w:tcW w:w="15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50.00</w:t>
            </w:r>
          </w:p>
        </w:tc>
        <w:tc>
          <w:tcPr>
            <w:tcW w:w="19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18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28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2070105</w:t>
            </w:r>
          </w:p>
        </w:tc>
        <w:tc>
          <w:tcPr>
            <w:tcW w:w="204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 xml:space="preserve">  文化展示及纪念机构</w:t>
            </w:r>
          </w:p>
        </w:tc>
        <w:tc>
          <w:tcPr>
            <w:tcW w:w="14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932.31</w:t>
            </w:r>
          </w:p>
        </w:tc>
        <w:tc>
          <w:tcPr>
            <w:tcW w:w="15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298.52</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633.79</w:t>
            </w:r>
          </w:p>
        </w:tc>
        <w:tc>
          <w:tcPr>
            <w:tcW w:w="19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18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28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2070199</w:t>
            </w:r>
          </w:p>
        </w:tc>
        <w:tc>
          <w:tcPr>
            <w:tcW w:w="204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 xml:space="preserve">  其他文化和旅游支出</w:t>
            </w:r>
          </w:p>
        </w:tc>
        <w:tc>
          <w:tcPr>
            <w:tcW w:w="14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59.23</w:t>
            </w:r>
          </w:p>
        </w:tc>
        <w:tc>
          <w:tcPr>
            <w:tcW w:w="15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59.23</w:t>
            </w:r>
          </w:p>
        </w:tc>
        <w:tc>
          <w:tcPr>
            <w:tcW w:w="19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18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28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20702</w:t>
            </w:r>
          </w:p>
        </w:tc>
        <w:tc>
          <w:tcPr>
            <w:tcW w:w="204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文物</w:t>
            </w:r>
          </w:p>
        </w:tc>
        <w:tc>
          <w:tcPr>
            <w:tcW w:w="14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114.36</w:t>
            </w:r>
          </w:p>
        </w:tc>
        <w:tc>
          <w:tcPr>
            <w:tcW w:w="15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2.89</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111.47</w:t>
            </w:r>
          </w:p>
        </w:tc>
        <w:tc>
          <w:tcPr>
            <w:tcW w:w="19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8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28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2070205</w:t>
            </w:r>
          </w:p>
        </w:tc>
        <w:tc>
          <w:tcPr>
            <w:tcW w:w="204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 xml:space="preserve">  博物馆</w:t>
            </w:r>
          </w:p>
        </w:tc>
        <w:tc>
          <w:tcPr>
            <w:tcW w:w="14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58.97</w:t>
            </w:r>
          </w:p>
        </w:tc>
        <w:tc>
          <w:tcPr>
            <w:tcW w:w="15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2.89</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56.08</w:t>
            </w:r>
          </w:p>
        </w:tc>
        <w:tc>
          <w:tcPr>
            <w:tcW w:w="19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18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28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2070299</w:t>
            </w:r>
          </w:p>
        </w:tc>
        <w:tc>
          <w:tcPr>
            <w:tcW w:w="204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 xml:space="preserve">  其他文物支出</w:t>
            </w:r>
          </w:p>
        </w:tc>
        <w:tc>
          <w:tcPr>
            <w:tcW w:w="14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55.39</w:t>
            </w:r>
          </w:p>
        </w:tc>
        <w:tc>
          <w:tcPr>
            <w:tcW w:w="15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55.39</w:t>
            </w:r>
          </w:p>
        </w:tc>
        <w:tc>
          <w:tcPr>
            <w:tcW w:w="19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18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28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20799</w:t>
            </w:r>
          </w:p>
        </w:tc>
        <w:tc>
          <w:tcPr>
            <w:tcW w:w="204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其他文化旅游体育与传媒支出</w:t>
            </w:r>
          </w:p>
        </w:tc>
        <w:tc>
          <w:tcPr>
            <w:tcW w:w="14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3.89</w:t>
            </w:r>
          </w:p>
        </w:tc>
        <w:tc>
          <w:tcPr>
            <w:tcW w:w="15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3.89</w:t>
            </w:r>
          </w:p>
        </w:tc>
        <w:tc>
          <w:tcPr>
            <w:tcW w:w="19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8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28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2079999</w:t>
            </w:r>
          </w:p>
        </w:tc>
        <w:tc>
          <w:tcPr>
            <w:tcW w:w="204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 xml:space="preserve">  其他文化旅游体育与传媒支出</w:t>
            </w:r>
          </w:p>
        </w:tc>
        <w:tc>
          <w:tcPr>
            <w:tcW w:w="14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3.89</w:t>
            </w:r>
          </w:p>
        </w:tc>
        <w:tc>
          <w:tcPr>
            <w:tcW w:w="15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3.89</w:t>
            </w:r>
          </w:p>
        </w:tc>
        <w:tc>
          <w:tcPr>
            <w:tcW w:w="19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18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28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208</w:t>
            </w:r>
          </w:p>
        </w:tc>
        <w:tc>
          <w:tcPr>
            <w:tcW w:w="204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14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41.91</w:t>
            </w:r>
          </w:p>
        </w:tc>
        <w:tc>
          <w:tcPr>
            <w:tcW w:w="15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41.91</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9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8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28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20805</w:t>
            </w:r>
          </w:p>
        </w:tc>
        <w:tc>
          <w:tcPr>
            <w:tcW w:w="204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14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41.91</w:t>
            </w:r>
          </w:p>
        </w:tc>
        <w:tc>
          <w:tcPr>
            <w:tcW w:w="15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41.91</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9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8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28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2080502</w:t>
            </w:r>
          </w:p>
        </w:tc>
        <w:tc>
          <w:tcPr>
            <w:tcW w:w="204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 xml:space="preserve">  事业单位离退休</w:t>
            </w:r>
          </w:p>
        </w:tc>
        <w:tc>
          <w:tcPr>
            <w:tcW w:w="14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5.52</w:t>
            </w:r>
          </w:p>
        </w:tc>
        <w:tc>
          <w:tcPr>
            <w:tcW w:w="15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5.52</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19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18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28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2080505</w:t>
            </w:r>
          </w:p>
        </w:tc>
        <w:tc>
          <w:tcPr>
            <w:tcW w:w="204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14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24.26</w:t>
            </w:r>
          </w:p>
        </w:tc>
        <w:tc>
          <w:tcPr>
            <w:tcW w:w="15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24.26</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19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18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28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2080506</w:t>
            </w:r>
          </w:p>
        </w:tc>
        <w:tc>
          <w:tcPr>
            <w:tcW w:w="204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 xml:space="preserve">  机关事业单位职业年金缴费支出</w:t>
            </w:r>
          </w:p>
        </w:tc>
        <w:tc>
          <w:tcPr>
            <w:tcW w:w="14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12.13</w:t>
            </w:r>
          </w:p>
        </w:tc>
        <w:tc>
          <w:tcPr>
            <w:tcW w:w="15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12.13</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19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18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28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210</w:t>
            </w:r>
          </w:p>
        </w:tc>
        <w:tc>
          <w:tcPr>
            <w:tcW w:w="204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卫生健康支出</w:t>
            </w:r>
          </w:p>
        </w:tc>
        <w:tc>
          <w:tcPr>
            <w:tcW w:w="14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12.87</w:t>
            </w:r>
          </w:p>
        </w:tc>
        <w:tc>
          <w:tcPr>
            <w:tcW w:w="15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12.87</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9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8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28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21011</w:t>
            </w:r>
          </w:p>
        </w:tc>
        <w:tc>
          <w:tcPr>
            <w:tcW w:w="204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14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12.87</w:t>
            </w:r>
          </w:p>
        </w:tc>
        <w:tc>
          <w:tcPr>
            <w:tcW w:w="15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12.87</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9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8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28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2101102</w:t>
            </w:r>
          </w:p>
        </w:tc>
        <w:tc>
          <w:tcPr>
            <w:tcW w:w="204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14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12.87</w:t>
            </w:r>
          </w:p>
        </w:tc>
        <w:tc>
          <w:tcPr>
            <w:tcW w:w="15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12.87</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19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18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28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221</w:t>
            </w:r>
          </w:p>
        </w:tc>
        <w:tc>
          <w:tcPr>
            <w:tcW w:w="204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住房保障支出</w:t>
            </w:r>
          </w:p>
        </w:tc>
        <w:tc>
          <w:tcPr>
            <w:tcW w:w="14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18.02</w:t>
            </w:r>
          </w:p>
        </w:tc>
        <w:tc>
          <w:tcPr>
            <w:tcW w:w="15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18.02</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9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8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28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22102</w:t>
            </w:r>
          </w:p>
        </w:tc>
        <w:tc>
          <w:tcPr>
            <w:tcW w:w="204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住房改革支出</w:t>
            </w:r>
          </w:p>
        </w:tc>
        <w:tc>
          <w:tcPr>
            <w:tcW w:w="14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18.02</w:t>
            </w:r>
          </w:p>
        </w:tc>
        <w:tc>
          <w:tcPr>
            <w:tcW w:w="15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18.02</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9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8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28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2210201</w:t>
            </w:r>
          </w:p>
        </w:tc>
        <w:tc>
          <w:tcPr>
            <w:tcW w:w="204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14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18.02</w:t>
            </w:r>
          </w:p>
        </w:tc>
        <w:tc>
          <w:tcPr>
            <w:tcW w:w="15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18.02</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19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18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28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229</w:t>
            </w:r>
          </w:p>
        </w:tc>
        <w:tc>
          <w:tcPr>
            <w:tcW w:w="204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其他支出</w:t>
            </w:r>
          </w:p>
        </w:tc>
        <w:tc>
          <w:tcPr>
            <w:tcW w:w="14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27.45</w:t>
            </w:r>
          </w:p>
        </w:tc>
        <w:tc>
          <w:tcPr>
            <w:tcW w:w="15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1.05</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26.41</w:t>
            </w:r>
          </w:p>
        </w:tc>
        <w:tc>
          <w:tcPr>
            <w:tcW w:w="19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8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28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22999</w:t>
            </w:r>
          </w:p>
        </w:tc>
        <w:tc>
          <w:tcPr>
            <w:tcW w:w="204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其他支出</w:t>
            </w:r>
          </w:p>
        </w:tc>
        <w:tc>
          <w:tcPr>
            <w:tcW w:w="14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27.45</w:t>
            </w:r>
          </w:p>
        </w:tc>
        <w:tc>
          <w:tcPr>
            <w:tcW w:w="15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1.05</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26.41</w:t>
            </w:r>
          </w:p>
        </w:tc>
        <w:tc>
          <w:tcPr>
            <w:tcW w:w="19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8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28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2299999</w:t>
            </w:r>
          </w:p>
        </w:tc>
        <w:tc>
          <w:tcPr>
            <w:tcW w:w="204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14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27.45</w:t>
            </w:r>
          </w:p>
        </w:tc>
        <w:tc>
          <w:tcPr>
            <w:tcW w:w="15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1.05</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26.41</w:t>
            </w:r>
          </w:p>
        </w:tc>
        <w:tc>
          <w:tcPr>
            <w:tcW w:w="19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18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28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630" w:hRule="atLeast"/>
        </w:trPr>
        <w:tc>
          <w:tcPr>
            <w:tcW w:w="14818" w:type="dxa"/>
            <w:gridSpan w:val="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7"/>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Theme="minorEastAsia" w:hAnsiTheme="minorEastAsia"/>
                <w:bCs/>
                <w:kern w:val="0"/>
                <w:sz w:val="20"/>
                <w:szCs w:val="20"/>
                <w:lang w:eastAsia="zh-CN"/>
              </w:rPr>
              <w:t>郴州市烈士公园（湘南起义纪念馆）</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1,162.50</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103.65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103.65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1,159.79</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1,159.79</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41.91</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41.91</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12.87</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12.87</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18.02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18.02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0"/>
                <w:szCs w:val="20"/>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1,162.50</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0"/>
                <w:szCs w:val="20"/>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1,336.25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1,336.25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173.74</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173.74</w:t>
            </w: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both"/>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0"/>
                <w:szCs w:val="20"/>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1,336.25</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both"/>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0"/>
                <w:szCs w:val="20"/>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1,336.25</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1,336.25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0"/>
                <w:szCs w:val="20"/>
                <w:u w:val="none"/>
                <w:lang w:val="en-US" w:eastAsia="zh-CN" w:bidi="ar"/>
              </w:rPr>
              <w:t>0.00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heme="minorEastAsia" w:hAnsiTheme="minorEastAsia"/>
          <w:bCs/>
          <w:kern w:val="0"/>
          <w:sz w:val="20"/>
          <w:szCs w:val="20"/>
          <w:lang w:eastAsia="zh-CN"/>
        </w:rPr>
        <w:t>郴州市烈士公园（湘南起义纪念馆）</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7"/>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1,336.25</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374.21</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962.04</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201</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一般公共服务支出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103.65</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0.00</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103.65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20104</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发展与改革事务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29.97</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0.00</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29.97</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2010499</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 xml:space="preserve">  其他发展与改革事务支出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29.97</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0.00</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29.97</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20133</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宣传事务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73.69</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0.00</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73.69</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2013399</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 xml:space="preserve">  其他宣传事务支出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73.69</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0.00</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73.69</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207</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文化旅游体育与传媒支出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1,159.79</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301.41</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858.38</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20701</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文化和旅游</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1,041.54</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298.52</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743.02</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2070101</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50.00</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0.00</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50.00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2070105</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 xml:space="preserve">  文化展示及纪念机构</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932.31</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298.52</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633.79</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2070199</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 xml:space="preserve">  其他文化和旅游支出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59.23</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0.00</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59.23</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20702</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文物</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114.36</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2.89</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111.47</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2070205</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 xml:space="preserve">  博物馆</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58.97</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2.89</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56.08</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2070299</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 xml:space="preserve">  其他文物支出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55.39</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0.00</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55.39</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20799</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其他文化旅游体育与传媒支出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3.89</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0.00</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3.89</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2079999</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 xml:space="preserve">  其他文化旅游体育与传媒支出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3.89</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0.00</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3.89</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208</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41.91</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41.91</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20805</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41.91</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41.91</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2080502</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 xml:space="preserve">  事业单位离退休</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5.52</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5.52</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2080505</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24.26</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24.26</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2080506</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 xml:space="preserve">  机关事业单位职业年金缴费支出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12.13</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12.13</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210</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卫生健康支出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12.87</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12.87</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21011</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12.87</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12.87</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2101102</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12.87</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12.87</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221</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住房保障支出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18.02</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18.02</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22102</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住房改革支出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18.02</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18.02</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2210201</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18.02</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18.02</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7"/>
        <w:tblW w:w="0" w:type="auto"/>
        <w:tblInd w:w="0" w:type="dxa"/>
        <w:tblLayout w:type="autofit"/>
        <w:tblCellMar>
          <w:top w:w="0" w:type="dxa"/>
          <w:left w:w="108" w:type="dxa"/>
          <w:bottom w:w="0" w:type="dxa"/>
          <w:right w:w="108" w:type="dxa"/>
        </w:tblCellMar>
      </w:tblPr>
      <w:tblGrid>
        <w:gridCol w:w="1303"/>
        <w:gridCol w:w="3235"/>
        <w:gridCol w:w="808"/>
        <w:gridCol w:w="1287"/>
        <w:gridCol w:w="2235"/>
        <w:gridCol w:w="713"/>
        <w:gridCol w:w="1287"/>
        <w:gridCol w:w="4034"/>
        <w:gridCol w:w="712"/>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heme="minorEastAsia" w:hAnsiTheme="minorEastAsia"/>
                <w:bCs/>
                <w:kern w:val="0"/>
                <w:sz w:val="20"/>
                <w:szCs w:val="20"/>
                <w:lang w:eastAsia="zh-CN"/>
              </w:rPr>
              <w:t>郴州市烈士公园（湘南起义纪念馆）</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53"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314.66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25.05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72.08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1.37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0.39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87.01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0.58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0.41</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0.12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58.83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0.57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0.41</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27.79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1.76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13.90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0.19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17.30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1.94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31.97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2.02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3.34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34.09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8.08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0.47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5.49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23.31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4.54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0.20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3.07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2.70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0.26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0.43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2.01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348.75</w:t>
            </w:r>
          </w:p>
        </w:tc>
        <w:tc>
          <w:tcPr>
            <w:tcW w:w="0" w:type="auto"/>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0"/>
                <w:szCs w:val="20"/>
                <w:u w:val="none"/>
                <w:lang w:val="en-US" w:eastAsia="zh-CN" w:bidi="ar"/>
              </w:rPr>
              <w:t>25.46</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heme="minorEastAsia" w:hAnsiTheme="minorEastAsia"/>
          <w:bCs/>
          <w:kern w:val="0"/>
          <w:sz w:val="20"/>
          <w:szCs w:val="20"/>
          <w:lang w:eastAsia="zh-CN"/>
        </w:rPr>
        <w:t>郴州市烈士公园（湘南起义纪念馆）</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7"/>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10.30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0.00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5.55</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0.00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5.55</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4.75</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3.37</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0.00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2.66</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0.00</w:t>
            </w:r>
          </w:p>
        </w:tc>
        <w:tc>
          <w:tcPr>
            <w:tcW w:w="1220" w:type="dxa"/>
            <w:tcBorders>
              <w:top w:val="nil"/>
              <w:left w:val="nil"/>
              <w:bottom w:val="single" w:color="auto" w:sz="8" w:space="0"/>
              <w:right w:val="nil"/>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2.66</w:t>
            </w: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0.71</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heme="minorEastAsia" w:hAnsiTheme="minorEastAsia"/>
          <w:bCs/>
          <w:kern w:val="0"/>
          <w:sz w:val="20"/>
          <w:szCs w:val="20"/>
          <w:lang w:eastAsia="zh-CN"/>
        </w:rPr>
        <w:t>郴州市烈士公园（湘南起义纪念馆）</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7"/>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ascii="Times New Roman" w:hAnsi="Times New Roman" w:eastAsia="仿宋_GB2312" w:cs="Times New Roman"/>
          <w:color w:val="000000"/>
          <w:kern w:val="0"/>
          <w:szCs w:val="21"/>
        </w:rPr>
        <w:t xml:space="preserve"> </w:t>
      </w:r>
      <w:r>
        <w:rPr>
          <w:rFonts w:hint="eastAsia" w:asciiTheme="minorEastAsia" w:hAnsiTheme="minorEastAsia"/>
          <w:bCs/>
          <w:kern w:val="0"/>
          <w:sz w:val="20"/>
          <w:szCs w:val="20"/>
          <w:lang w:eastAsia="zh-CN"/>
        </w:rPr>
        <w:t>郴州市烈士公园（湘南起义纪念馆）</w:t>
      </w:r>
      <w:r>
        <w:rPr>
          <w:rFonts w:hint="eastAsia" w:ascii="Times New Roman" w:hAnsi="Times New Roman" w:eastAsia="仿宋_GB2312" w:cs="Times New Roman"/>
          <w:kern w:val="0"/>
          <w:szCs w:val="21"/>
        </w:rPr>
        <w:t>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7"/>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Theme="minorEastAsia" w:hAnsiTheme="minorEastAsia"/>
                <w:bCs/>
                <w:kern w:val="0"/>
                <w:sz w:val="20"/>
                <w:szCs w:val="20"/>
                <w:lang w:eastAsia="zh-CN"/>
              </w:rPr>
              <w:t>郴州市烈士公园（湘南起义纪念馆）</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（郴州市烈士公园（湘南起义纪念馆）</w:t>
            </w:r>
            <w:r>
              <w:rPr>
                <w:rFonts w:hint="eastAsia" w:ascii="Times New Roman" w:hAnsi="Times New Roman" w:eastAsia="仿宋_GB2312" w:cs="Times New Roman"/>
                <w:kern w:val="0"/>
                <w:szCs w:val="21"/>
              </w:rPr>
              <w:t>单位没有</w:t>
            </w:r>
            <w:r>
              <w:rPr>
                <w:rFonts w:hint="eastAsia" w:ascii="Times New Roman" w:hAnsi="Times New Roman" w:eastAsia="仿宋_GB2312" w:cs="Times New Roman"/>
                <w:kern w:val="0"/>
                <w:szCs w:val="21"/>
                <w:lang w:eastAsia="zh-CN"/>
              </w:rPr>
              <w:t>国有资本经营</w:t>
            </w:r>
            <w:r>
              <w:rPr>
                <w:rFonts w:hint="eastAsia" w:ascii="Times New Roman" w:hAnsi="Times New Roman" w:eastAsia="仿宋_GB2312" w:cs="Times New Roman"/>
                <w:kern w:val="0"/>
                <w:szCs w:val="21"/>
              </w:rPr>
              <w:t>收入，也没有使用</w:t>
            </w:r>
            <w:r>
              <w:rPr>
                <w:rFonts w:hint="eastAsia" w:ascii="Times New Roman" w:hAnsi="Times New Roman" w:eastAsia="仿宋_GB2312" w:cs="Times New Roman"/>
                <w:kern w:val="0"/>
                <w:szCs w:val="21"/>
                <w:lang w:eastAsia="zh-CN"/>
              </w:rPr>
              <w:t>国有资本经营</w:t>
            </w:r>
            <w:r>
              <w:rPr>
                <w:rFonts w:hint="eastAsia" w:ascii="Times New Roman" w:hAnsi="Times New Roman" w:eastAsia="仿宋_GB2312" w:cs="Times New Roman"/>
                <w:kern w:val="0"/>
                <w:szCs w:val="21"/>
              </w:rPr>
              <w:t>安排的支出，故本表无数据</w:t>
            </w:r>
            <w:r>
              <w:rPr>
                <w:rFonts w:hint="default" w:ascii="Times New Roman" w:hAnsi="Times New Roman" w:eastAsia="仿宋_GB2312" w:cs="Times New Roman"/>
                <w:kern w:val="0"/>
                <w:szCs w:val="21"/>
              </w:rPr>
              <w:t>)。</w:t>
            </w:r>
          </w:p>
          <w:p>
            <w:pPr>
              <w:widowControl/>
              <w:jc w:val="left"/>
              <w:rPr>
                <w:rFonts w:hint="eastAsia" w:ascii="宋体" w:hAnsi="宋体" w:eastAsia="宋体" w:cs="宋体"/>
                <w:kern w:val="0"/>
                <w:sz w:val="24"/>
                <w:szCs w:val="24"/>
              </w:rPr>
            </w:pPr>
          </w:p>
        </w:tc>
      </w:tr>
    </w:tbl>
    <w:p>
      <w:pPr>
        <w:pStyle w:val="12"/>
        <w:rPr>
          <w:sz w:val="72"/>
          <w:szCs w:val="72"/>
        </w:rPr>
        <w:sectPr>
          <w:pgSz w:w="16838" w:h="11906" w:orient="landscape"/>
          <w:pgMar w:top="720" w:right="720" w:bottom="720" w:left="720" w:header="851" w:footer="992" w:gutter="0"/>
          <w:cols w:space="425" w:num="1"/>
          <w:docGrid w:type="lines" w:linePitch="312" w:charSpace="0"/>
        </w:sectPr>
      </w:pPr>
    </w:p>
    <w:p>
      <w:pPr>
        <w:pStyle w:val="12"/>
        <w:rPr>
          <w:sz w:val="72"/>
          <w:szCs w:val="72"/>
        </w:rPr>
      </w:pPr>
    </w:p>
    <w:p>
      <w:pPr>
        <w:pStyle w:val="12"/>
        <w:rPr>
          <w:sz w:val="72"/>
          <w:szCs w:val="72"/>
        </w:rPr>
      </w:pPr>
    </w:p>
    <w:p>
      <w:pPr>
        <w:pStyle w:val="12"/>
        <w:rPr>
          <w:sz w:val="72"/>
          <w:szCs w:val="72"/>
        </w:rPr>
      </w:pPr>
    </w:p>
    <w:p>
      <w:pPr>
        <w:pStyle w:val="12"/>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r>
        <w:rPr>
          <w:rFonts w:hint="eastAsia"/>
          <w:sz w:val="72"/>
          <w:szCs w:val="72"/>
        </w:rPr>
        <w:t>第三部分</w:t>
      </w:r>
    </w:p>
    <w:p>
      <w:pPr>
        <w:pStyle w:val="12"/>
        <w:jc w:val="center"/>
        <w:rPr>
          <w:sz w:val="70"/>
          <w:szCs w:val="70"/>
        </w:rPr>
      </w:pPr>
    </w:p>
    <w:p>
      <w:pPr>
        <w:pStyle w:val="12"/>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2"/>
        <w:rPr>
          <w:rFonts w:asciiTheme="minorEastAsia" w:hAnsiTheme="minorEastAsia" w:eastAsiaTheme="minorEastAsia"/>
          <w:sz w:val="32"/>
          <w:szCs w:val="32"/>
        </w:rPr>
      </w:pPr>
    </w:p>
    <w:p>
      <w:pPr>
        <w:pStyle w:val="12"/>
        <w:rPr>
          <w:rFonts w:hAnsi="黑体"/>
          <w:b/>
          <w:sz w:val="32"/>
          <w:szCs w:val="32"/>
        </w:rPr>
      </w:pPr>
      <w:r>
        <w:rPr>
          <w:rFonts w:hint="eastAsia" w:hAnsi="黑体"/>
          <w:b/>
          <w:sz w:val="32"/>
          <w:szCs w:val="32"/>
        </w:rPr>
        <w:t>一、收入支出决算总体情况说明</w:t>
      </w:r>
    </w:p>
    <w:p>
      <w:pPr>
        <w:pStyle w:val="12"/>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年度收、支总计</w:t>
      </w:r>
      <w:r>
        <w:rPr>
          <w:rFonts w:hint="eastAsia" w:asciiTheme="minorEastAsia" w:hAnsiTheme="minorEastAsia" w:eastAsiaTheme="minorEastAsia"/>
          <w:sz w:val="32"/>
          <w:szCs w:val="32"/>
          <w:lang w:val="en-US" w:eastAsia="zh-CN"/>
        </w:rPr>
        <w:t>1403.38</w:t>
      </w:r>
      <w:r>
        <w:rPr>
          <w:rFonts w:hint="eastAsia" w:asciiTheme="minorEastAsia" w:hAnsiTheme="minorEastAsia" w:eastAsiaTheme="minorEastAsia"/>
          <w:sz w:val="32"/>
          <w:szCs w:val="32"/>
        </w:rPr>
        <w:t>万元。与上年相比，</w:t>
      </w:r>
      <w:r>
        <w:rPr>
          <w:rFonts w:hint="eastAsia" w:asciiTheme="minorEastAsia" w:hAnsiTheme="minorEastAsia" w:eastAsiaTheme="minorEastAsia"/>
          <w:sz w:val="32"/>
          <w:szCs w:val="32"/>
          <w:lang w:val="en-US" w:eastAsia="zh-CN"/>
        </w:rPr>
        <w:t>增加211.31</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增长17.73%</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我单位由差额转全额</w:t>
      </w:r>
      <w:r>
        <w:rPr>
          <w:rFonts w:hint="eastAsia" w:asciiTheme="minorEastAsia" w:hAnsiTheme="minorEastAsia" w:eastAsiaTheme="minorEastAsia"/>
          <w:sz w:val="32"/>
          <w:szCs w:val="32"/>
          <w:lang w:eastAsia="zh-CN"/>
        </w:rPr>
        <w:t>财政拨款收支</w:t>
      </w:r>
      <w:r>
        <w:rPr>
          <w:rFonts w:hint="eastAsia" w:asciiTheme="minorEastAsia" w:hAnsiTheme="minorEastAsia" w:eastAsiaTheme="minorEastAsia"/>
          <w:sz w:val="32"/>
          <w:szCs w:val="32"/>
          <w:lang w:val="en-US" w:eastAsia="zh-CN"/>
        </w:rPr>
        <w:t>增加</w:t>
      </w:r>
      <w:r>
        <w:rPr>
          <w:rFonts w:hint="eastAsia" w:asciiTheme="minorEastAsia" w:hAnsiTheme="minorEastAsia" w:eastAsiaTheme="minorEastAsia"/>
          <w:sz w:val="32"/>
          <w:szCs w:val="32"/>
          <w:lang w:eastAsia="zh-CN"/>
        </w:rPr>
        <w:t>。</w:t>
      </w:r>
    </w:p>
    <w:p>
      <w:pPr>
        <w:pStyle w:val="12"/>
        <w:rPr>
          <w:rFonts w:hAnsi="黑体"/>
          <w:b/>
          <w:sz w:val="32"/>
          <w:szCs w:val="32"/>
        </w:rPr>
      </w:pPr>
      <w:r>
        <w:rPr>
          <w:rFonts w:hint="eastAsia" w:hAnsi="黑体"/>
          <w:b/>
          <w:sz w:val="32"/>
          <w:szCs w:val="32"/>
        </w:rPr>
        <w:t>二、收入决算情况说明</w:t>
      </w:r>
    </w:p>
    <w:p>
      <w:pPr>
        <w:pStyle w:val="12"/>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1187.88</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1162.5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97.86</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25.38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2.14</w:t>
      </w:r>
      <w:r>
        <w:rPr>
          <w:rFonts w:hint="eastAsia" w:asciiTheme="minorEastAsia" w:hAnsiTheme="minorEastAsia" w:eastAsiaTheme="minorEastAsia"/>
          <w:sz w:val="32"/>
          <w:szCs w:val="32"/>
        </w:rPr>
        <w:t>%。</w:t>
      </w:r>
    </w:p>
    <w:p>
      <w:pPr>
        <w:pStyle w:val="12"/>
        <w:rPr>
          <w:rFonts w:hAnsi="黑体"/>
          <w:b/>
          <w:sz w:val="32"/>
          <w:szCs w:val="32"/>
        </w:rPr>
      </w:pPr>
      <w:r>
        <w:rPr>
          <w:rFonts w:hint="eastAsia" w:hAnsi="黑体"/>
          <w:b/>
          <w:sz w:val="32"/>
          <w:szCs w:val="32"/>
        </w:rPr>
        <w:t>三、支出决算情况说明</w:t>
      </w:r>
    </w:p>
    <w:p>
      <w:pPr>
        <w:pStyle w:val="12"/>
        <w:ind w:firstLine="640" w:firstLineChars="200"/>
        <w:rPr>
          <w:rFonts w:hint="eastAsia" w:ascii="宋体" w:hAnsi="宋体" w:eastAsiaTheme="minorEastAsia"/>
          <w:sz w:val="32"/>
          <w:szCs w:val="32"/>
          <w:lang w:eastAsia="zh-CN"/>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1363.7</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375.26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27.52</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988.45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72.48</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2"/>
        <w:rPr>
          <w:rFonts w:hAnsi="黑体"/>
          <w:b/>
          <w:sz w:val="32"/>
          <w:szCs w:val="32"/>
        </w:rPr>
      </w:pPr>
      <w:r>
        <w:rPr>
          <w:rFonts w:hint="eastAsia" w:hAnsi="黑体"/>
          <w:b/>
          <w:sz w:val="32"/>
          <w:szCs w:val="32"/>
        </w:rPr>
        <w:t>四、财政拨款收入支出决算总体情况说明</w:t>
      </w:r>
    </w:p>
    <w:p>
      <w:pPr>
        <w:pStyle w:val="12"/>
        <w:ind w:firstLine="64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年度财政拨款收、支总计</w:t>
      </w:r>
      <w:r>
        <w:rPr>
          <w:rFonts w:hint="eastAsia" w:asciiTheme="minorEastAsia" w:hAnsiTheme="minorEastAsia" w:eastAsiaTheme="minorEastAsia"/>
          <w:sz w:val="32"/>
          <w:szCs w:val="32"/>
          <w:lang w:val="en-US" w:eastAsia="zh-CN"/>
        </w:rPr>
        <w:t>1336.25</w:t>
      </w:r>
      <w:r>
        <w:rPr>
          <w:rFonts w:hint="eastAsia" w:asciiTheme="minorEastAsia" w:hAnsiTheme="minorEastAsia" w:eastAsiaTheme="minorEastAsia"/>
          <w:sz w:val="32"/>
          <w:szCs w:val="32"/>
        </w:rPr>
        <w:t>万元，与上年相比，</w:t>
      </w:r>
      <w:r>
        <w:rPr>
          <w:rFonts w:hint="eastAsia" w:asciiTheme="minorEastAsia" w:hAnsiTheme="minorEastAsia" w:eastAsiaTheme="minorEastAsia"/>
          <w:sz w:val="32"/>
          <w:szCs w:val="32"/>
          <w:lang w:val="en-US" w:eastAsia="zh-CN"/>
        </w:rPr>
        <w:t>增加197.33</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增长17.33</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我单位由差额转全额</w:t>
      </w:r>
      <w:r>
        <w:rPr>
          <w:rFonts w:hint="eastAsia" w:asciiTheme="minorEastAsia" w:hAnsiTheme="minorEastAsia" w:eastAsiaTheme="minorEastAsia"/>
          <w:sz w:val="32"/>
          <w:szCs w:val="32"/>
          <w:lang w:eastAsia="zh-CN"/>
        </w:rPr>
        <w:t>财政拨款收支</w:t>
      </w:r>
      <w:r>
        <w:rPr>
          <w:rFonts w:hint="eastAsia" w:asciiTheme="minorEastAsia" w:hAnsiTheme="minorEastAsia" w:eastAsiaTheme="minorEastAsia"/>
          <w:sz w:val="32"/>
          <w:szCs w:val="32"/>
          <w:lang w:val="en-US" w:eastAsia="zh-CN"/>
        </w:rPr>
        <w:t>增加</w:t>
      </w:r>
      <w:r>
        <w:rPr>
          <w:rFonts w:hint="eastAsia" w:ascii="宋体" w:hAnsi="宋体"/>
          <w:sz w:val="32"/>
          <w:szCs w:val="32"/>
        </w:rPr>
        <w:t>。</w:t>
      </w:r>
    </w:p>
    <w:p>
      <w:pPr>
        <w:pStyle w:val="12"/>
        <w:rPr>
          <w:rFonts w:hAnsi="黑体"/>
          <w:b/>
          <w:sz w:val="32"/>
          <w:szCs w:val="32"/>
        </w:rPr>
      </w:pPr>
      <w:r>
        <w:rPr>
          <w:rFonts w:hint="eastAsia" w:hAnsi="黑体"/>
          <w:b/>
          <w:sz w:val="32"/>
          <w:szCs w:val="32"/>
        </w:rPr>
        <w:t>五、一般公共预算财政拨款支出决算情况说明</w:t>
      </w:r>
    </w:p>
    <w:p>
      <w:pPr>
        <w:pStyle w:val="12"/>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年度财政拨款支出</w:t>
      </w:r>
      <w:r>
        <w:rPr>
          <w:rFonts w:hint="eastAsia" w:asciiTheme="minorEastAsia" w:hAnsiTheme="minorEastAsia" w:eastAsiaTheme="minorEastAsia"/>
          <w:sz w:val="32"/>
          <w:szCs w:val="32"/>
          <w:lang w:val="en-US" w:eastAsia="zh-CN"/>
        </w:rPr>
        <w:t>1336.25</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97.99</w:t>
      </w:r>
      <w:r>
        <w:rPr>
          <w:rFonts w:hint="eastAsia" w:asciiTheme="minorEastAsia" w:hAnsiTheme="minorEastAsia" w:eastAsiaTheme="minorEastAsia"/>
          <w:sz w:val="32"/>
          <w:szCs w:val="32"/>
        </w:rPr>
        <w:t>%，与上年相比，财政拨款支出</w:t>
      </w:r>
      <w:r>
        <w:rPr>
          <w:rFonts w:hint="eastAsia" w:asciiTheme="minorEastAsia" w:hAnsiTheme="minorEastAsia" w:eastAsiaTheme="minorEastAsia"/>
          <w:sz w:val="32"/>
          <w:szCs w:val="32"/>
          <w:lang w:val="en-US" w:eastAsia="zh-CN"/>
        </w:rPr>
        <w:t>增加417.29</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增长45.41</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我单位由差额转全额</w:t>
      </w:r>
      <w:r>
        <w:rPr>
          <w:rFonts w:hint="eastAsia" w:asciiTheme="minorEastAsia" w:hAnsiTheme="minorEastAsia" w:eastAsiaTheme="minorEastAsia"/>
          <w:sz w:val="32"/>
          <w:szCs w:val="32"/>
          <w:lang w:eastAsia="zh-CN"/>
        </w:rPr>
        <w:t>财政拨款</w:t>
      </w:r>
      <w:r>
        <w:rPr>
          <w:rFonts w:hint="eastAsia" w:asciiTheme="minorEastAsia" w:hAnsiTheme="minorEastAsia" w:eastAsiaTheme="minorEastAsia"/>
          <w:sz w:val="32"/>
          <w:szCs w:val="32"/>
          <w:lang w:val="en-US" w:eastAsia="zh-CN"/>
        </w:rPr>
        <w:t>基本及项目</w:t>
      </w:r>
      <w:r>
        <w:rPr>
          <w:rFonts w:hint="eastAsia" w:asciiTheme="minorEastAsia" w:hAnsiTheme="minorEastAsia" w:eastAsiaTheme="minorEastAsia"/>
          <w:sz w:val="32"/>
          <w:szCs w:val="32"/>
          <w:lang w:eastAsia="zh-CN"/>
        </w:rPr>
        <w:t>支</w:t>
      </w:r>
      <w:r>
        <w:rPr>
          <w:rFonts w:hint="eastAsia" w:asciiTheme="minorEastAsia" w:hAnsiTheme="minorEastAsia" w:eastAsiaTheme="minorEastAsia"/>
          <w:sz w:val="32"/>
          <w:szCs w:val="32"/>
          <w:lang w:val="en-US" w:eastAsia="zh-CN"/>
        </w:rPr>
        <w:t>出增加</w:t>
      </w:r>
      <w:r>
        <w:rPr>
          <w:rFonts w:hint="eastAsia" w:ascii="宋体" w:hAnsi="宋体"/>
          <w:sz w:val="32"/>
          <w:szCs w:val="32"/>
        </w:rPr>
        <w:t>。</w:t>
      </w:r>
    </w:p>
    <w:p>
      <w:pPr>
        <w:pStyle w:val="12"/>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2"/>
        <w:ind w:firstLine="640" w:firstLineChars="200"/>
        <w:rPr>
          <w:rFonts w:hint="eastAsia" w:asciiTheme="minorEastAsia" w:hAnsiTheme="minorEastAsia" w:eastAsiaTheme="minorEastAsia"/>
          <w:i/>
          <w:color w:val="FF0000"/>
          <w:sz w:val="32"/>
          <w:szCs w:val="32"/>
        </w:rPr>
      </w:pPr>
      <w:r>
        <w:rPr>
          <w:rFonts w:ascii="宋体" w:hAnsi="宋体" w:eastAsia="宋体"/>
          <w:sz w:val="32"/>
          <w:szCs w:val="32"/>
        </w:rPr>
        <w:t>20</w:t>
      </w:r>
      <w:r>
        <w:rPr>
          <w:rFonts w:hint="eastAsia" w:ascii="宋体" w:hAnsi="宋体" w:eastAsia="宋体"/>
          <w:sz w:val="32"/>
          <w:szCs w:val="32"/>
          <w:lang w:val="en-US" w:eastAsia="zh-CN"/>
        </w:rPr>
        <w:t>21</w:t>
      </w:r>
      <w:r>
        <w:rPr>
          <w:rFonts w:hint="eastAsia" w:ascii="宋体" w:hAnsi="宋体" w:eastAsia="宋体"/>
          <w:sz w:val="32"/>
          <w:szCs w:val="32"/>
        </w:rPr>
        <w:t>年度财政拨款支出</w:t>
      </w:r>
      <w:r>
        <w:rPr>
          <w:rFonts w:hint="eastAsia" w:ascii="宋体" w:hAnsi="宋体" w:eastAsia="宋体"/>
          <w:sz w:val="32"/>
          <w:szCs w:val="32"/>
          <w:lang w:val="en-US" w:eastAsia="zh-CN"/>
        </w:rPr>
        <w:t>1336.25</w:t>
      </w:r>
      <w:r>
        <w:rPr>
          <w:rFonts w:hint="eastAsia" w:ascii="宋体" w:hAnsi="宋体" w:eastAsia="宋体"/>
          <w:sz w:val="32"/>
          <w:szCs w:val="32"/>
        </w:rPr>
        <w:t>万元，主要用于以下方面：</w:t>
      </w:r>
      <w:r>
        <w:rPr>
          <w:rFonts w:hint="eastAsia" w:ascii="宋体" w:hAnsi="宋体"/>
          <w:sz w:val="32"/>
          <w:szCs w:val="32"/>
        </w:rPr>
        <w:t>一般公共服务支出</w:t>
      </w:r>
      <w:r>
        <w:rPr>
          <w:rFonts w:hint="eastAsia" w:ascii="宋体" w:hAnsi="宋体"/>
          <w:sz w:val="32"/>
          <w:szCs w:val="32"/>
          <w:lang w:val="en-US" w:eastAsia="zh-CN"/>
        </w:rPr>
        <w:t>103.65万元，占7.76%；</w:t>
      </w:r>
      <w:r>
        <w:rPr>
          <w:rFonts w:hint="eastAsia" w:ascii="宋体" w:hAnsi="宋体"/>
          <w:sz w:val="32"/>
          <w:szCs w:val="32"/>
        </w:rPr>
        <w:t>文化旅游体育与传媒支出</w:t>
      </w:r>
      <w:r>
        <w:rPr>
          <w:rFonts w:hint="eastAsia" w:ascii="宋体" w:hAnsi="宋体"/>
          <w:sz w:val="32"/>
          <w:szCs w:val="32"/>
          <w:lang w:val="en-US" w:eastAsia="zh-CN"/>
        </w:rPr>
        <w:t>1159.79</w:t>
      </w:r>
      <w:r>
        <w:rPr>
          <w:rFonts w:hint="eastAsia" w:ascii="宋体" w:hAnsi="宋体"/>
          <w:sz w:val="32"/>
          <w:szCs w:val="32"/>
        </w:rPr>
        <w:t>万元，占</w:t>
      </w:r>
      <w:r>
        <w:rPr>
          <w:rFonts w:hint="eastAsia" w:ascii="宋体" w:hAnsi="宋体"/>
          <w:sz w:val="32"/>
          <w:szCs w:val="32"/>
          <w:lang w:val="en-US" w:eastAsia="zh-CN"/>
        </w:rPr>
        <w:t>86.79</w:t>
      </w:r>
      <w:r>
        <w:rPr>
          <w:rFonts w:ascii="宋体" w:hAnsi="宋体"/>
          <w:sz w:val="32"/>
          <w:szCs w:val="32"/>
        </w:rPr>
        <w:t>%;</w:t>
      </w:r>
      <w:r>
        <w:rPr>
          <w:rFonts w:hint="eastAsia" w:ascii="宋体" w:hAnsi="宋体"/>
          <w:sz w:val="32"/>
          <w:szCs w:val="32"/>
        </w:rPr>
        <w:t>社会保障和就业支出</w:t>
      </w:r>
      <w:r>
        <w:rPr>
          <w:rFonts w:hint="eastAsia" w:ascii="宋体" w:hAnsi="宋体"/>
          <w:sz w:val="32"/>
          <w:szCs w:val="32"/>
          <w:lang w:val="en-US" w:eastAsia="zh-CN"/>
        </w:rPr>
        <w:t>41.91</w:t>
      </w:r>
      <w:r>
        <w:rPr>
          <w:rFonts w:hint="eastAsia" w:ascii="宋体" w:hAnsi="宋体"/>
          <w:sz w:val="32"/>
          <w:szCs w:val="32"/>
        </w:rPr>
        <w:t>万元，占</w:t>
      </w:r>
      <w:r>
        <w:rPr>
          <w:rFonts w:hint="eastAsia" w:ascii="宋体" w:hAnsi="宋体"/>
          <w:sz w:val="32"/>
          <w:szCs w:val="32"/>
          <w:lang w:val="en-US" w:eastAsia="zh-CN"/>
        </w:rPr>
        <w:t>3.14</w:t>
      </w:r>
      <w:r>
        <w:rPr>
          <w:rFonts w:ascii="宋体" w:hAnsi="宋体"/>
          <w:sz w:val="32"/>
          <w:szCs w:val="32"/>
        </w:rPr>
        <w:t>%;</w:t>
      </w:r>
      <w:r>
        <w:rPr>
          <w:rFonts w:hint="eastAsia" w:ascii="宋体" w:hAnsi="宋体"/>
          <w:sz w:val="32"/>
          <w:szCs w:val="32"/>
        </w:rPr>
        <w:t>卫生健康支出</w:t>
      </w:r>
      <w:r>
        <w:rPr>
          <w:rFonts w:hint="eastAsia" w:ascii="宋体" w:hAnsi="宋体"/>
          <w:sz w:val="32"/>
          <w:szCs w:val="32"/>
          <w:lang w:val="en-US" w:eastAsia="zh-CN"/>
        </w:rPr>
        <w:t>12.87</w:t>
      </w:r>
      <w:r>
        <w:rPr>
          <w:rFonts w:hint="eastAsia" w:ascii="宋体" w:hAnsi="宋体"/>
          <w:sz w:val="32"/>
          <w:szCs w:val="32"/>
        </w:rPr>
        <w:t>万元，占</w:t>
      </w:r>
      <w:r>
        <w:rPr>
          <w:rFonts w:hint="eastAsia" w:ascii="宋体" w:hAnsi="宋体"/>
          <w:sz w:val="32"/>
          <w:szCs w:val="32"/>
          <w:lang w:val="en-US" w:eastAsia="zh-CN"/>
        </w:rPr>
        <w:t>0.96</w:t>
      </w:r>
      <w:r>
        <w:rPr>
          <w:rFonts w:ascii="宋体" w:hAnsi="宋体"/>
          <w:sz w:val="32"/>
          <w:szCs w:val="32"/>
        </w:rPr>
        <w:t>%</w:t>
      </w:r>
      <w:r>
        <w:rPr>
          <w:rFonts w:hint="eastAsia" w:ascii="宋体" w:hAnsi="宋体"/>
          <w:sz w:val="32"/>
          <w:szCs w:val="32"/>
          <w:lang w:eastAsia="zh-CN"/>
        </w:rPr>
        <w:t>；住房保障支出</w:t>
      </w:r>
      <w:r>
        <w:rPr>
          <w:rFonts w:hint="eastAsia" w:ascii="宋体" w:hAnsi="宋体"/>
          <w:sz w:val="32"/>
          <w:szCs w:val="32"/>
          <w:lang w:val="en-US" w:eastAsia="zh-CN"/>
        </w:rPr>
        <w:t>18.02万元，占1.35%</w:t>
      </w:r>
      <w:r>
        <w:rPr>
          <w:rFonts w:hint="eastAsia" w:ascii="宋体" w:hAnsi="宋体"/>
          <w:sz w:val="32"/>
          <w:szCs w:val="32"/>
          <w:lang w:eastAsia="zh-CN"/>
        </w:rPr>
        <w:t>。</w:t>
      </w:r>
    </w:p>
    <w:p>
      <w:pPr>
        <w:pStyle w:val="12"/>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2"/>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2021年度财政拨款支出年初预算数为XXXX万元，支出决算数为XXXX万元，完成年初预算的XX%，其中：</w:t>
      </w:r>
    </w:p>
    <w:p>
      <w:pPr>
        <w:pStyle w:val="12"/>
        <w:ind w:firstLine="800" w:firstLineChars="250"/>
        <w:rPr>
          <w:rFonts w:hint="eastAsia" w:ascii="宋体" w:hAnsi="宋体" w:eastAsia="宋体"/>
          <w:sz w:val="32"/>
          <w:szCs w:val="32"/>
        </w:rPr>
      </w:pPr>
      <w:r>
        <w:rPr>
          <w:rFonts w:ascii="宋体" w:hAnsi="宋体" w:eastAsia="宋体"/>
          <w:sz w:val="32"/>
          <w:szCs w:val="32"/>
        </w:rPr>
        <w:t>20</w:t>
      </w:r>
      <w:r>
        <w:rPr>
          <w:rFonts w:hint="eastAsia" w:ascii="宋体" w:hAnsi="宋体" w:eastAsia="宋体"/>
          <w:sz w:val="32"/>
          <w:szCs w:val="32"/>
          <w:lang w:val="en-US" w:eastAsia="zh-CN"/>
        </w:rPr>
        <w:t>21</w:t>
      </w:r>
      <w:r>
        <w:rPr>
          <w:rFonts w:hint="eastAsia" w:ascii="宋体" w:hAnsi="宋体" w:eastAsia="宋体"/>
          <w:sz w:val="32"/>
          <w:szCs w:val="32"/>
        </w:rPr>
        <w:t>年度财政拨款支出年初预算数为</w:t>
      </w:r>
      <w:r>
        <w:rPr>
          <w:rFonts w:hint="eastAsia" w:ascii="宋体" w:hAnsi="宋体" w:eastAsia="宋体"/>
          <w:sz w:val="32"/>
          <w:szCs w:val="32"/>
          <w:lang w:val="en-US" w:eastAsia="zh-CN"/>
        </w:rPr>
        <w:t>860.22</w:t>
      </w:r>
      <w:r>
        <w:rPr>
          <w:rFonts w:hint="eastAsia" w:ascii="宋体" w:hAnsi="宋体" w:eastAsia="宋体"/>
          <w:sz w:val="32"/>
          <w:szCs w:val="32"/>
        </w:rPr>
        <w:t>万元，支出决算数为</w:t>
      </w:r>
      <w:r>
        <w:rPr>
          <w:rFonts w:hint="eastAsia" w:ascii="宋体" w:hAnsi="宋体" w:eastAsia="宋体"/>
          <w:sz w:val="32"/>
          <w:szCs w:val="32"/>
          <w:lang w:val="en-US" w:eastAsia="zh-CN"/>
        </w:rPr>
        <w:t>1336.25</w:t>
      </w:r>
      <w:r>
        <w:rPr>
          <w:rFonts w:hint="eastAsia" w:ascii="宋体" w:hAnsi="宋体" w:eastAsia="宋体"/>
          <w:sz w:val="32"/>
          <w:szCs w:val="32"/>
        </w:rPr>
        <w:t>万元，完成年初预算的</w:t>
      </w:r>
      <w:r>
        <w:rPr>
          <w:rFonts w:hint="eastAsia" w:ascii="宋体" w:hAnsi="宋体" w:eastAsia="宋体"/>
          <w:sz w:val="32"/>
          <w:szCs w:val="32"/>
          <w:lang w:val="en-US" w:eastAsia="zh-CN"/>
        </w:rPr>
        <w:t>155.34</w:t>
      </w:r>
      <w:r>
        <w:rPr>
          <w:rFonts w:ascii="宋体" w:hAnsi="宋体" w:eastAsia="宋体"/>
          <w:sz w:val="32"/>
          <w:szCs w:val="32"/>
        </w:rPr>
        <w:t>%</w:t>
      </w:r>
      <w:r>
        <w:rPr>
          <w:rFonts w:hint="eastAsia" w:ascii="宋体" w:hAnsi="宋体" w:eastAsia="宋体"/>
          <w:sz w:val="32"/>
          <w:szCs w:val="32"/>
        </w:rPr>
        <w:t>，与年初预算安排的差额主要是上年结余结转和年中追加预算安排的支出。其</w:t>
      </w:r>
      <w:r>
        <w:rPr>
          <w:rFonts w:ascii="宋体" w:hAnsi="宋体" w:eastAsia="宋体"/>
          <w:sz w:val="32"/>
          <w:szCs w:val="32"/>
        </w:rPr>
        <w:t xml:space="preserve"> </w:t>
      </w:r>
      <w:r>
        <w:rPr>
          <w:rFonts w:hint="eastAsia" w:ascii="宋体" w:hAnsi="宋体" w:eastAsia="宋体"/>
          <w:sz w:val="32"/>
          <w:szCs w:val="32"/>
        </w:rPr>
        <w:t>中：</w:t>
      </w:r>
    </w:p>
    <w:p>
      <w:pPr>
        <w:pStyle w:val="6"/>
        <w:numPr>
          <w:ilvl w:val="0"/>
          <w:numId w:val="2"/>
        </w:numPr>
        <w:shd w:val="clear" w:color="auto" w:fill="FFFFFF"/>
        <w:spacing w:before="0" w:beforeAutospacing="0" w:after="0" w:afterAutospacing="0"/>
        <w:ind w:firstLine="645"/>
        <w:rPr>
          <w:rFonts w:hint="eastAsia"/>
          <w:sz w:val="32"/>
          <w:szCs w:val="32"/>
          <w:lang w:val="en-US" w:eastAsia="zh-CN"/>
        </w:rPr>
      </w:pPr>
      <w:r>
        <w:rPr>
          <w:rFonts w:hint="eastAsia"/>
          <w:sz w:val="32"/>
          <w:szCs w:val="32"/>
        </w:rPr>
        <w:t>一般公共服务支出</w:t>
      </w:r>
      <w:r>
        <w:rPr>
          <w:rFonts w:hint="eastAsia"/>
          <w:sz w:val="32"/>
          <w:szCs w:val="32"/>
          <w:lang w:val="en-US" w:eastAsia="zh-CN"/>
        </w:rPr>
        <w:t>(类）发展与改革事务（款）其他发展与改革事务支出（项）。</w:t>
      </w:r>
    </w:p>
    <w:p>
      <w:pPr>
        <w:pStyle w:val="6"/>
        <w:numPr>
          <w:ilvl w:val="0"/>
          <w:numId w:val="0"/>
        </w:numPr>
        <w:shd w:val="clear" w:color="auto" w:fill="FFFFFF"/>
        <w:spacing w:before="0" w:beforeAutospacing="0" w:after="0" w:afterAutospacing="0"/>
        <w:ind w:firstLine="640" w:firstLineChars="200"/>
        <w:rPr>
          <w:rFonts w:hint="eastAsia"/>
          <w:sz w:val="32"/>
          <w:szCs w:val="32"/>
        </w:rPr>
      </w:pPr>
      <w:r>
        <w:rPr>
          <w:rFonts w:hint="eastAsia"/>
          <w:sz w:val="32"/>
          <w:szCs w:val="32"/>
          <w:lang w:val="en-US" w:eastAsia="zh-CN"/>
        </w:rPr>
        <w:t>支出决算为29.97万元，</w:t>
      </w:r>
      <w:r>
        <w:rPr>
          <w:rFonts w:hint="eastAsia"/>
          <w:sz w:val="32"/>
          <w:szCs w:val="32"/>
        </w:rPr>
        <w:t>年初预算未安排，为年中追加的</w:t>
      </w:r>
      <w:r>
        <w:rPr>
          <w:rFonts w:hint="eastAsia"/>
          <w:sz w:val="32"/>
          <w:szCs w:val="32"/>
          <w:lang w:eastAsia="zh-CN"/>
        </w:rPr>
        <w:t>“湘南起义纪念园提质改造及红色旅游建设工程”</w:t>
      </w:r>
      <w:r>
        <w:rPr>
          <w:rFonts w:hint="eastAsia"/>
          <w:sz w:val="32"/>
          <w:szCs w:val="32"/>
          <w:lang w:val="en-US" w:eastAsia="zh-CN"/>
        </w:rPr>
        <w:t>项目前期经费</w:t>
      </w:r>
      <w:r>
        <w:rPr>
          <w:rFonts w:hint="eastAsia"/>
          <w:sz w:val="32"/>
          <w:szCs w:val="32"/>
        </w:rPr>
        <w:t>。</w:t>
      </w:r>
    </w:p>
    <w:p>
      <w:pPr>
        <w:pStyle w:val="6"/>
        <w:numPr>
          <w:ilvl w:val="0"/>
          <w:numId w:val="2"/>
        </w:numPr>
        <w:shd w:val="clear" w:color="auto" w:fill="FFFFFF"/>
        <w:spacing w:before="0" w:beforeAutospacing="0" w:after="0" w:afterAutospacing="0"/>
        <w:ind w:left="0" w:leftChars="0" w:firstLine="645" w:firstLineChars="0"/>
        <w:rPr>
          <w:rFonts w:hint="eastAsia"/>
          <w:sz w:val="32"/>
          <w:szCs w:val="32"/>
          <w:lang w:val="en-US" w:eastAsia="zh-CN"/>
        </w:rPr>
      </w:pPr>
      <w:r>
        <w:rPr>
          <w:rFonts w:hint="eastAsia"/>
          <w:sz w:val="32"/>
          <w:szCs w:val="32"/>
        </w:rPr>
        <w:t>一般公共服务支出</w:t>
      </w:r>
      <w:r>
        <w:rPr>
          <w:rFonts w:hint="eastAsia"/>
          <w:sz w:val="32"/>
          <w:szCs w:val="32"/>
          <w:lang w:val="en-US" w:eastAsia="zh-CN"/>
        </w:rPr>
        <w:t>(类）宣传事务（款）其他宣传事务支出（项）。</w:t>
      </w:r>
    </w:p>
    <w:p>
      <w:pPr>
        <w:pStyle w:val="6"/>
        <w:numPr>
          <w:ilvl w:val="0"/>
          <w:numId w:val="0"/>
        </w:numPr>
        <w:shd w:val="clear" w:color="auto" w:fill="FFFFFF"/>
        <w:spacing w:before="0" w:beforeAutospacing="0" w:after="0" w:afterAutospacing="0"/>
        <w:ind w:firstLine="640" w:firstLineChars="200"/>
        <w:rPr>
          <w:rFonts w:hint="eastAsia"/>
          <w:sz w:val="32"/>
          <w:szCs w:val="32"/>
          <w:lang w:val="en-US" w:eastAsia="zh-CN"/>
        </w:rPr>
      </w:pPr>
      <w:r>
        <w:rPr>
          <w:rFonts w:hint="eastAsia"/>
          <w:sz w:val="32"/>
          <w:szCs w:val="32"/>
          <w:lang w:val="en-US" w:eastAsia="zh-CN"/>
        </w:rPr>
        <w:t>支出决算为73.69万元，</w:t>
      </w:r>
      <w:r>
        <w:rPr>
          <w:rFonts w:hint="eastAsia"/>
          <w:sz w:val="32"/>
          <w:szCs w:val="32"/>
        </w:rPr>
        <w:t>年初预算未安排，为年中追加的</w:t>
      </w:r>
      <w:r>
        <w:rPr>
          <w:rFonts w:hint="eastAsia"/>
          <w:sz w:val="32"/>
          <w:szCs w:val="32"/>
          <w:lang w:eastAsia="zh-CN"/>
        </w:rPr>
        <w:t>“建党100周年庆祝活动经费”</w:t>
      </w:r>
      <w:r>
        <w:rPr>
          <w:rFonts w:hint="eastAsia"/>
          <w:sz w:val="32"/>
          <w:szCs w:val="32"/>
        </w:rPr>
        <w:t>。</w:t>
      </w:r>
    </w:p>
    <w:p>
      <w:pPr>
        <w:pStyle w:val="6"/>
        <w:numPr>
          <w:ilvl w:val="0"/>
          <w:numId w:val="2"/>
        </w:numPr>
        <w:shd w:val="clear" w:color="auto" w:fill="FFFFFF"/>
        <w:spacing w:before="0" w:beforeAutospacing="0" w:after="0" w:afterAutospacing="0"/>
        <w:ind w:left="0" w:leftChars="0" w:firstLine="645" w:firstLineChars="0"/>
        <w:rPr>
          <w:sz w:val="32"/>
          <w:szCs w:val="32"/>
        </w:rPr>
      </w:pPr>
      <w:r>
        <w:rPr>
          <w:rFonts w:hint="eastAsia"/>
          <w:sz w:val="32"/>
          <w:szCs w:val="32"/>
        </w:rPr>
        <w:t>文化旅游体育与传媒（类）文化和旅游（款）行政运行（项）。</w:t>
      </w:r>
    </w:p>
    <w:p>
      <w:pPr>
        <w:pStyle w:val="6"/>
        <w:numPr>
          <w:ilvl w:val="0"/>
          <w:numId w:val="0"/>
        </w:numPr>
        <w:shd w:val="clear" w:color="auto" w:fill="FFFFFF"/>
        <w:spacing w:before="0" w:beforeAutospacing="0" w:after="0" w:afterAutospacing="0"/>
        <w:ind w:left="645" w:leftChars="0"/>
        <w:rPr>
          <w:rFonts w:hint="default" w:eastAsiaTheme="minorEastAsia"/>
          <w:sz w:val="32"/>
          <w:szCs w:val="32"/>
          <w:lang w:val="en-US" w:eastAsia="zh-CN"/>
        </w:rPr>
      </w:pPr>
      <w:r>
        <w:rPr>
          <w:rFonts w:hint="eastAsia"/>
          <w:sz w:val="32"/>
          <w:szCs w:val="32"/>
          <w:lang w:val="en-US" w:eastAsia="zh-CN"/>
        </w:rPr>
        <w:t>年初预算为50万元，支出决算为50万元，完成年初预算的100%。</w:t>
      </w:r>
    </w:p>
    <w:p>
      <w:pPr>
        <w:pStyle w:val="6"/>
        <w:numPr>
          <w:ilvl w:val="0"/>
          <w:numId w:val="2"/>
        </w:numPr>
        <w:shd w:val="clear" w:color="auto" w:fill="FFFFFF"/>
        <w:spacing w:before="0" w:beforeAutospacing="0" w:after="0" w:afterAutospacing="0"/>
        <w:ind w:left="0" w:leftChars="0" w:firstLine="645" w:firstLineChars="0"/>
        <w:rPr>
          <w:sz w:val="32"/>
          <w:szCs w:val="32"/>
        </w:rPr>
      </w:pPr>
      <w:r>
        <w:rPr>
          <w:rFonts w:hint="eastAsia"/>
          <w:sz w:val="32"/>
          <w:szCs w:val="32"/>
        </w:rPr>
        <w:t>文化旅游体育与传媒（类）文化和旅游（款）文化展示及纪念机构（项）。</w:t>
      </w:r>
    </w:p>
    <w:p>
      <w:pPr>
        <w:pStyle w:val="12"/>
        <w:ind w:firstLine="800" w:firstLineChars="250"/>
        <w:rPr>
          <w:rFonts w:hint="eastAsia" w:ascii="宋体" w:hAnsi="宋体" w:cs="宋体" w:eastAsiaTheme="minorEastAsia"/>
          <w:color w:val="auto"/>
          <w:kern w:val="0"/>
          <w:sz w:val="32"/>
          <w:szCs w:val="32"/>
          <w:lang w:val="en-US" w:eastAsia="zh-CN" w:bidi="ar-SA"/>
        </w:rPr>
      </w:pPr>
      <w:r>
        <w:rPr>
          <w:rFonts w:hint="eastAsia" w:ascii="宋体" w:hAnsi="宋体" w:cs="宋体" w:eastAsiaTheme="minorEastAsia"/>
          <w:color w:val="auto"/>
          <w:kern w:val="0"/>
          <w:sz w:val="32"/>
          <w:szCs w:val="32"/>
          <w:lang w:val="en-US" w:eastAsia="zh-CN" w:bidi="ar-SA"/>
        </w:rPr>
        <w:t>年初预算为734.8万元，支出决算为932.31万元，完成年初预算的126.88%，增加部分主要是年中追加的2021年各类奖金等人员经费及湘南起义旧址群-郴县苏维埃政府旧址（陈家大屋）保护修缮工程支出。</w:t>
      </w:r>
    </w:p>
    <w:p>
      <w:pPr>
        <w:pStyle w:val="6"/>
        <w:shd w:val="clear" w:color="auto" w:fill="FFFFFF"/>
        <w:spacing w:before="0" w:beforeAutospacing="0" w:after="0" w:afterAutospacing="0"/>
        <w:ind w:firstLine="645"/>
        <w:rPr>
          <w:sz w:val="32"/>
          <w:szCs w:val="32"/>
        </w:rPr>
      </w:pPr>
      <w:r>
        <w:rPr>
          <w:rFonts w:hint="eastAsia"/>
          <w:sz w:val="32"/>
          <w:szCs w:val="32"/>
          <w:lang w:val="en-US" w:eastAsia="zh-CN"/>
        </w:rPr>
        <w:t>5</w:t>
      </w:r>
      <w:r>
        <w:rPr>
          <w:rFonts w:hint="eastAsia"/>
          <w:sz w:val="32"/>
          <w:szCs w:val="32"/>
        </w:rPr>
        <w:t>、文化旅游体育与传媒（类）文化和旅游（款）其他文化和旅游（项）。</w:t>
      </w:r>
    </w:p>
    <w:p>
      <w:pPr>
        <w:pStyle w:val="6"/>
        <w:shd w:val="clear" w:color="auto" w:fill="FFFFFF"/>
        <w:spacing w:before="0" w:beforeAutospacing="0" w:after="0" w:afterAutospacing="0"/>
        <w:ind w:firstLine="645"/>
        <w:rPr>
          <w:sz w:val="32"/>
          <w:szCs w:val="32"/>
        </w:rPr>
      </w:pPr>
      <w:r>
        <w:rPr>
          <w:rFonts w:hint="eastAsia"/>
          <w:sz w:val="32"/>
          <w:szCs w:val="32"/>
        </w:rPr>
        <w:t>支出决算为</w:t>
      </w:r>
      <w:r>
        <w:rPr>
          <w:rFonts w:hint="eastAsia"/>
          <w:sz w:val="32"/>
          <w:szCs w:val="32"/>
          <w:lang w:val="en-US" w:eastAsia="zh-CN"/>
        </w:rPr>
        <w:t>59.23</w:t>
      </w:r>
      <w:r>
        <w:rPr>
          <w:rFonts w:hint="eastAsia"/>
          <w:sz w:val="32"/>
          <w:szCs w:val="32"/>
        </w:rPr>
        <w:t>万元，年初预算未安排，为</w:t>
      </w:r>
      <w:r>
        <w:rPr>
          <w:rFonts w:hint="eastAsia"/>
          <w:sz w:val="32"/>
          <w:szCs w:val="32"/>
          <w:lang w:val="en-US" w:eastAsia="zh-CN"/>
        </w:rPr>
        <w:t>上年结余</w:t>
      </w:r>
      <w:r>
        <w:rPr>
          <w:rFonts w:hint="eastAsia"/>
          <w:sz w:val="32"/>
          <w:szCs w:val="32"/>
        </w:rPr>
        <w:t>的</w:t>
      </w:r>
      <w:r>
        <w:rPr>
          <w:rFonts w:hint="eastAsia"/>
          <w:sz w:val="32"/>
          <w:szCs w:val="32"/>
          <w:lang w:eastAsia="zh-CN"/>
        </w:rPr>
        <w:t>中省旅游项目资金：湘南起义纪念园红色文化旅游项目标志标牌和智慧旅游建设</w:t>
      </w:r>
      <w:r>
        <w:rPr>
          <w:rFonts w:hint="eastAsia"/>
          <w:sz w:val="32"/>
          <w:szCs w:val="32"/>
          <w:lang w:val="en-US" w:eastAsia="zh-CN"/>
        </w:rPr>
        <w:t>支出</w:t>
      </w:r>
      <w:r>
        <w:rPr>
          <w:rFonts w:hint="eastAsia"/>
          <w:sz w:val="32"/>
          <w:szCs w:val="32"/>
        </w:rPr>
        <w:t>。</w:t>
      </w:r>
    </w:p>
    <w:p>
      <w:pPr>
        <w:pStyle w:val="6"/>
        <w:shd w:val="clear" w:color="auto" w:fill="FFFFFF"/>
        <w:spacing w:before="0" w:beforeAutospacing="0" w:after="0" w:afterAutospacing="0"/>
        <w:ind w:firstLine="645"/>
        <w:rPr>
          <w:sz w:val="32"/>
          <w:szCs w:val="32"/>
        </w:rPr>
      </w:pPr>
      <w:r>
        <w:rPr>
          <w:rFonts w:hint="eastAsia"/>
          <w:sz w:val="32"/>
          <w:szCs w:val="32"/>
          <w:lang w:val="en-US" w:eastAsia="zh-CN"/>
        </w:rPr>
        <w:t>6</w:t>
      </w:r>
      <w:r>
        <w:rPr>
          <w:rFonts w:hint="eastAsia"/>
          <w:sz w:val="32"/>
          <w:szCs w:val="32"/>
        </w:rPr>
        <w:t>、文化旅游体育与传媒（类）文物（款）</w:t>
      </w:r>
      <w:r>
        <w:rPr>
          <w:rFonts w:hint="eastAsia"/>
          <w:sz w:val="32"/>
          <w:szCs w:val="32"/>
          <w:lang w:val="en-US" w:eastAsia="zh-CN"/>
        </w:rPr>
        <w:t>博物馆</w:t>
      </w:r>
      <w:r>
        <w:rPr>
          <w:rFonts w:hint="eastAsia"/>
          <w:sz w:val="32"/>
          <w:szCs w:val="32"/>
        </w:rPr>
        <w:t>（项）。</w:t>
      </w:r>
    </w:p>
    <w:p>
      <w:pPr>
        <w:pStyle w:val="6"/>
        <w:shd w:val="clear" w:color="auto" w:fill="FFFFFF"/>
        <w:spacing w:before="0" w:beforeAutospacing="0" w:after="0" w:afterAutospacing="0"/>
        <w:ind w:firstLine="645"/>
        <w:rPr>
          <w:rFonts w:hint="default"/>
          <w:sz w:val="32"/>
          <w:szCs w:val="32"/>
          <w:lang w:val="en-US" w:eastAsia="zh-CN"/>
        </w:rPr>
      </w:pPr>
      <w:r>
        <w:rPr>
          <w:rFonts w:hint="eastAsia"/>
          <w:sz w:val="32"/>
          <w:szCs w:val="32"/>
        </w:rPr>
        <w:t>支出决算为</w:t>
      </w:r>
      <w:r>
        <w:rPr>
          <w:rFonts w:hint="eastAsia"/>
          <w:sz w:val="32"/>
          <w:szCs w:val="32"/>
          <w:lang w:val="en-US" w:eastAsia="zh-CN"/>
        </w:rPr>
        <w:t>58.97</w:t>
      </w:r>
      <w:r>
        <w:rPr>
          <w:rFonts w:hint="eastAsia"/>
          <w:sz w:val="32"/>
          <w:szCs w:val="32"/>
        </w:rPr>
        <w:t>万元，</w:t>
      </w:r>
      <w:r>
        <w:rPr>
          <w:rFonts w:hint="eastAsia"/>
          <w:sz w:val="32"/>
          <w:szCs w:val="32"/>
          <w:lang w:val="en-US" w:eastAsia="zh-CN"/>
        </w:rPr>
        <w:t>年初预算未安排，一是</w:t>
      </w:r>
      <w:r>
        <w:rPr>
          <w:rFonts w:hint="eastAsia"/>
          <w:sz w:val="32"/>
          <w:szCs w:val="32"/>
        </w:rPr>
        <w:t>为</w:t>
      </w:r>
      <w:r>
        <w:rPr>
          <w:rFonts w:hint="eastAsia"/>
          <w:sz w:val="32"/>
          <w:szCs w:val="32"/>
          <w:lang w:val="en-US" w:eastAsia="zh-CN"/>
        </w:rPr>
        <w:t>年中追加的中央补助地方博物馆纪念馆免费开放运转补助支出40万元；二是为上年结余</w:t>
      </w:r>
      <w:r>
        <w:rPr>
          <w:rFonts w:hint="eastAsia"/>
          <w:sz w:val="32"/>
          <w:szCs w:val="32"/>
        </w:rPr>
        <w:t>的</w:t>
      </w:r>
      <w:r>
        <w:rPr>
          <w:rFonts w:hint="eastAsia"/>
          <w:sz w:val="32"/>
          <w:szCs w:val="32"/>
          <w:lang w:eastAsia="zh-CN"/>
        </w:rPr>
        <w:t xml:space="preserve"> 2018年中央补助地方博物馆纪念馆免费开放专项资金（湘南起义纪念馆的陈列布展）</w:t>
      </w:r>
      <w:r>
        <w:rPr>
          <w:rFonts w:hint="eastAsia"/>
          <w:sz w:val="32"/>
          <w:szCs w:val="32"/>
          <w:lang w:val="en-US" w:eastAsia="zh-CN"/>
        </w:rPr>
        <w:t>支出16.08万元；三是年中人事变动划转经费2.89万元。</w:t>
      </w:r>
    </w:p>
    <w:p>
      <w:pPr>
        <w:pStyle w:val="6"/>
        <w:shd w:val="clear" w:color="auto" w:fill="FFFFFF"/>
        <w:spacing w:before="0" w:beforeAutospacing="0" w:after="0" w:afterAutospacing="0"/>
        <w:ind w:firstLine="645"/>
        <w:rPr>
          <w:sz w:val="32"/>
          <w:szCs w:val="32"/>
        </w:rPr>
      </w:pPr>
      <w:r>
        <w:rPr>
          <w:rFonts w:hint="eastAsia"/>
          <w:sz w:val="32"/>
          <w:szCs w:val="32"/>
          <w:lang w:val="en-US" w:eastAsia="zh-CN"/>
        </w:rPr>
        <w:t>7</w:t>
      </w:r>
      <w:r>
        <w:rPr>
          <w:rFonts w:hint="eastAsia"/>
          <w:sz w:val="32"/>
          <w:szCs w:val="32"/>
        </w:rPr>
        <w:t>、文化旅游体育与传媒（类）文物（款）</w:t>
      </w:r>
      <w:r>
        <w:rPr>
          <w:rFonts w:hint="eastAsia"/>
          <w:sz w:val="32"/>
          <w:szCs w:val="32"/>
          <w:lang w:eastAsia="zh-CN"/>
        </w:rPr>
        <w:t>其他文物支出</w:t>
      </w:r>
      <w:r>
        <w:rPr>
          <w:rFonts w:hint="eastAsia"/>
          <w:sz w:val="32"/>
          <w:szCs w:val="32"/>
        </w:rPr>
        <w:t>（项）。</w:t>
      </w:r>
    </w:p>
    <w:p>
      <w:pPr>
        <w:pStyle w:val="12"/>
        <w:ind w:firstLine="640" w:firstLineChars="200"/>
        <w:rPr>
          <w:rFonts w:hint="eastAsia" w:ascii="宋体" w:hAnsi="宋体" w:eastAsia="宋体"/>
          <w:sz w:val="32"/>
          <w:szCs w:val="32"/>
          <w:lang w:eastAsia="zh-CN"/>
        </w:rPr>
      </w:pPr>
      <w:r>
        <w:rPr>
          <w:rFonts w:hint="eastAsia" w:ascii="宋体" w:hAnsi="宋体" w:eastAsia="宋体"/>
          <w:sz w:val="32"/>
          <w:szCs w:val="32"/>
        </w:rPr>
        <w:t>支出决算为</w:t>
      </w:r>
      <w:r>
        <w:rPr>
          <w:rFonts w:hint="eastAsia" w:ascii="宋体" w:hAnsi="宋体" w:eastAsia="宋体"/>
          <w:sz w:val="32"/>
          <w:szCs w:val="32"/>
          <w:lang w:val="en-US" w:eastAsia="zh-CN"/>
        </w:rPr>
        <w:t>55.39</w:t>
      </w:r>
      <w:r>
        <w:rPr>
          <w:rFonts w:hint="eastAsia" w:ascii="宋体" w:hAnsi="宋体" w:eastAsia="宋体"/>
          <w:sz w:val="32"/>
          <w:szCs w:val="32"/>
        </w:rPr>
        <w:t>万元，年初预算未安排，</w:t>
      </w:r>
      <w:r>
        <w:rPr>
          <w:rFonts w:hint="eastAsia" w:ascii="宋体" w:hAnsi="宋体" w:eastAsia="宋体"/>
          <w:sz w:val="32"/>
          <w:szCs w:val="32"/>
          <w:lang w:eastAsia="zh-CN"/>
        </w:rPr>
        <w:t>一是</w:t>
      </w:r>
      <w:r>
        <w:rPr>
          <w:rFonts w:hint="eastAsia" w:ascii="宋体" w:hAnsi="宋体" w:eastAsia="宋体"/>
          <w:sz w:val="32"/>
          <w:szCs w:val="32"/>
        </w:rPr>
        <w:t>为上年结余的湘南起义旧址群：郴县苏维埃政府旧址（陈家大屋消防工程）资金支出</w:t>
      </w:r>
      <w:r>
        <w:rPr>
          <w:rFonts w:hint="eastAsia" w:ascii="宋体" w:hAnsi="宋体" w:eastAsia="宋体"/>
          <w:sz w:val="32"/>
          <w:szCs w:val="32"/>
          <w:lang w:val="en-US" w:eastAsia="zh-CN"/>
        </w:rPr>
        <w:t>21.79万元</w:t>
      </w:r>
      <w:r>
        <w:rPr>
          <w:rFonts w:hint="eastAsia" w:ascii="宋体" w:hAnsi="宋体" w:eastAsia="宋体"/>
          <w:sz w:val="32"/>
          <w:szCs w:val="32"/>
          <w:lang w:eastAsia="zh-CN"/>
        </w:rPr>
        <w:t>；二是为</w:t>
      </w:r>
      <w:r>
        <w:rPr>
          <w:rFonts w:hint="eastAsia" w:ascii="宋体" w:hAnsi="宋体" w:eastAsia="宋体"/>
          <w:sz w:val="32"/>
          <w:szCs w:val="32"/>
          <w:lang w:val="en-US" w:eastAsia="zh-CN"/>
        </w:rPr>
        <w:t>上年结余</w:t>
      </w:r>
      <w:r>
        <w:rPr>
          <w:rFonts w:hint="eastAsia" w:ascii="宋体" w:hAnsi="宋体" w:eastAsia="宋体"/>
          <w:sz w:val="32"/>
          <w:szCs w:val="32"/>
          <w:lang w:eastAsia="zh-CN"/>
        </w:rPr>
        <w:t>的</w:t>
      </w:r>
      <w:r>
        <w:rPr>
          <w:rFonts w:hint="eastAsia" w:ascii="宋体" w:hAnsi="宋体" w:eastAsia="宋体"/>
          <w:sz w:val="32"/>
          <w:szCs w:val="32"/>
        </w:rPr>
        <w:t>郴县苏维埃政府旧址（陈家大屋</w:t>
      </w:r>
      <w:r>
        <w:rPr>
          <w:rFonts w:hint="eastAsia" w:ascii="宋体" w:hAnsi="宋体" w:eastAsia="宋体"/>
          <w:sz w:val="32"/>
          <w:szCs w:val="32"/>
          <w:lang w:eastAsia="zh-CN"/>
        </w:rPr>
        <w:t>安</w:t>
      </w:r>
      <w:r>
        <w:rPr>
          <w:rFonts w:hint="eastAsia" w:ascii="宋体" w:hAnsi="宋体" w:eastAsia="宋体"/>
          <w:sz w:val="32"/>
          <w:szCs w:val="32"/>
        </w:rPr>
        <w:t>防工程）资金支出</w:t>
      </w:r>
      <w:r>
        <w:rPr>
          <w:rFonts w:hint="eastAsia" w:ascii="宋体" w:hAnsi="宋体" w:eastAsia="宋体"/>
          <w:sz w:val="32"/>
          <w:szCs w:val="32"/>
          <w:lang w:val="en-US" w:eastAsia="zh-CN"/>
        </w:rPr>
        <w:t>33.6万元</w:t>
      </w:r>
      <w:r>
        <w:rPr>
          <w:rFonts w:hint="eastAsia" w:ascii="宋体" w:hAnsi="宋体" w:eastAsia="宋体"/>
          <w:sz w:val="32"/>
          <w:szCs w:val="32"/>
          <w:lang w:eastAsia="zh-CN"/>
        </w:rPr>
        <w:t>。</w:t>
      </w:r>
    </w:p>
    <w:p>
      <w:pPr>
        <w:pStyle w:val="12"/>
        <w:numPr>
          <w:ilvl w:val="0"/>
          <w:numId w:val="3"/>
        </w:numPr>
        <w:ind w:firstLine="640" w:firstLineChars="200"/>
        <w:rPr>
          <w:rFonts w:hint="eastAsia" w:ascii="宋体" w:hAnsi="宋体" w:eastAsia="宋体"/>
          <w:sz w:val="32"/>
          <w:szCs w:val="32"/>
        </w:rPr>
      </w:pPr>
      <w:r>
        <w:rPr>
          <w:rFonts w:hint="eastAsia" w:ascii="宋体" w:hAnsi="宋体" w:eastAsia="宋体"/>
          <w:sz w:val="32"/>
          <w:szCs w:val="32"/>
        </w:rPr>
        <w:t>文化旅游体育与传媒（类）其他文化旅游体育与传媒支出（款）</w:t>
      </w:r>
      <w:r>
        <w:rPr>
          <w:rFonts w:hint="eastAsia" w:ascii="宋体" w:hAnsi="宋体" w:eastAsia="宋体"/>
          <w:sz w:val="32"/>
          <w:szCs w:val="32"/>
          <w:lang w:eastAsia="zh-CN"/>
        </w:rPr>
        <w:t>其他文化旅游体育与传媒支出</w:t>
      </w:r>
      <w:r>
        <w:rPr>
          <w:rFonts w:hint="eastAsia" w:ascii="宋体" w:hAnsi="宋体" w:eastAsia="宋体"/>
          <w:sz w:val="32"/>
          <w:szCs w:val="32"/>
        </w:rPr>
        <w:t>（项）。</w:t>
      </w:r>
    </w:p>
    <w:p>
      <w:pPr>
        <w:pStyle w:val="12"/>
        <w:numPr>
          <w:ilvl w:val="0"/>
          <w:numId w:val="0"/>
        </w:numPr>
        <w:rPr>
          <w:rFonts w:hint="default" w:ascii="宋体" w:hAnsi="宋体" w:eastAsia="宋体"/>
          <w:sz w:val="32"/>
          <w:szCs w:val="32"/>
          <w:lang w:val="en-US" w:eastAsia="zh-CN"/>
        </w:rPr>
      </w:pPr>
      <w:r>
        <w:rPr>
          <w:rFonts w:hint="eastAsia" w:ascii="宋体" w:hAnsi="宋体" w:eastAsia="宋体"/>
          <w:sz w:val="32"/>
          <w:szCs w:val="32"/>
          <w:lang w:val="en-US" w:eastAsia="zh-CN"/>
        </w:rPr>
        <w:t xml:space="preserve">    </w:t>
      </w:r>
      <w:r>
        <w:rPr>
          <w:rFonts w:hint="eastAsia" w:ascii="宋体" w:hAnsi="宋体" w:eastAsia="宋体"/>
          <w:sz w:val="32"/>
          <w:szCs w:val="32"/>
          <w:lang w:eastAsia="zh-CN"/>
        </w:rPr>
        <w:t>支出决算为</w:t>
      </w:r>
      <w:r>
        <w:rPr>
          <w:rFonts w:hint="eastAsia" w:ascii="宋体" w:hAnsi="宋体" w:eastAsia="宋体"/>
          <w:sz w:val="32"/>
          <w:szCs w:val="32"/>
          <w:lang w:val="en-US" w:eastAsia="zh-CN"/>
        </w:rPr>
        <w:t>3.89</w:t>
      </w:r>
      <w:r>
        <w:rPr>
          <w:rFonts w:hint="eastAsia" w:ascii="宋体" w:hAnsi="宋体" w:eastAsia="宋体"/>
          <w:sz w:val="32"/>
          <w:szCs w:val="32"/>
          <w:lang w:eastAsia="zh-CN"/>
        </w:rPr>
        <w:t>万元，</w:t>
      </w:r>
      <w:r>
        <w:rPr>
          <w:rFonts w:hint="eastAsia" w:ascii="宋体" w:hAnsi="宋体" w:eastAsia="宋体"/>
          <w:sz w:val="32"/>
          <w:szCs w:val="32"/>
          <w:lang w:val="en-US" w:eastAsia="zh-CN"/>
        </w:rPr>
        <w:t>年初预算未安排，</w:t>
      </w:r>
      <w:r>
        <w:rPr>
          <w:rFonts w:hint="eastAsia" w:ascii="宋体" w:hAnsi="宋体" w:eastAsia="宋体"/>
          <w:sz w:val="32"/>
          <w:szCs w:val="32"/>
          <w:lang w:eastAsia="zh-CN"/>
        </w:rPr>
        <w:t>为</w:t>
      </w:r>
      <w:r>
        <w:rPr>
          <w:rFonts w:hint="eastAsia" w:ascii="宋体" w:hAnsi="宋体" w:eastAsia="宋体"/>
          <w:sz w:val="32"/>
          <w:szCs w:val="32"/>
          <w:lang w:val="en-US" w:eastAsia="zh-CN"/>
        </w:rPr>
        <w:t>年中追加的中省资金纪念馆公益文化发展支出。</w:t>
      </w:r>
    </w:p>
    <w:p>
      <w:pPr>
        <w:pStyle w:val="12"/>
        <w:numPr>
          <w:ilvl w:val="0"/>
          <w:numId w:val="3"/>
        </w:numPr>
        <w:ind w:left="0" w:leftChars="0" w:firstLine="640" w:firstLineChars="200"/>
        <w:rPr>
          <w:rFonts w:hint="eastAsia" w:ascii="宋体" w:hAnsi="宋体" w:eastAsia="宋体"/>
          <w:sz w:val="32"/>
          <w:szCs w:val="32"/>
        </w:rPr>
      </w:pPr>
      <w:r>
        <w:rPr>
          <w:rFonts w:hint="eastAsia" w:ascii="宋体" w:hAnsi="宋体" w:eastAsia="宋体"/>
          <w:sz w:val="32"/>
          <w:szCs w:val="32"/>
        </w:rPr>
        <w:t>社会保障和就业（类）行政事业单位养老支出</w:t>
      </w:r>
      <w:r>
        <w:rPr>
          <w:rFonts w:hint="eastAsia" w:ascii="宋体" w:hAnsi="宋体" w:eastAsia="宋体"/>
          <w:sz w:val="32"/>
          <w:szCs w:val="32"/>
          <w:lang w:eastAsia="zh-CN"/>
        </w:rPr>
        <w:t>（</w:t>
      </w:r>
      <w:r>
        <w:rPr>
          <w:rFonts w:hint="eastAsia" w:ascii="宋体" w:hAnsi="宋体" w:eastAsia="宋体"/>
          <w:sz w:val="32"/>
          <w:szCs w:val="32"/>
          <w:lang w:val="en-US" w:eastAsia="zh-CN"/>
        </w:rPr>
        <w:t>款）</w:t>
      </w:r>
      <w:r>
        <w:rPr>
          <w:rFonts w:hint="eastAsia" w:ascii="宋体" w:hAnsi="宋体" w:eastAsia="宋体"/>
          <w:sz w:val="32"/>
          <w:szCs w:val="32"/>
        </w:rPr>
        <w:t>事业单位离退休（项）。</w:t>
      </w:r>
    </w:p>
    <w:p>
      <w:pPr>
        <w:pStyle w:val="12"/>
        <w:widowControl w:val="0"/>
        <w:numPr>
          <w:ilvl w:val="0"/>
          <w:numId w:val="0"/>
        </w:numPr>
        <w:autoSpaceDE w:val="0"/>
        <w:autoSpaceDN w:val="0"/>
        <w:adjustRightInd w:val="0"/>
        <w:rPr>
          <w:rFonts w:hint="default" w:ascii="宋体" w:hAnsi="宋体" w:eastAsia="宋体"/>
          <w:sz w:val="32"/>
          <w:szCs w:val="32"/>
          <w:lang w:val="en-US" w:eastAsia="zh-CN"/>
        </w:rPr>
      </w:pPr>
      <w:r>
        <w:rPr>
          <w:rFonts w:hint="eastAsia" w:ascii="宋体" w:hAnsi="宋体" w:eastAsia="宋体"/>
          <w:sz w:val="32"/>
          <w:szCs w:val="32"/>
          <w:lang w:val="en-US" w:eastAsia="zh-CN"/>
        </w:rPr>
        <w:t xml:space="preserve">    年初预算为9.14万元（其中含纳入预算管理的非税收入3.62万元），实际安排为5.52万元，支出决算为5.52万元，完成预算的100%。</w:t>
      </w:r>
    </w:p>
    <w:p>
      <w:pPr>
        <w:pStyle w:val="12"/>
        <w:numPr>
          <w:ilvl w:val="0"/>
          <w:numId w:val="3"/>
        </w:numPr>
        <w:ind w:left="0" w:leftChars="0" w:firstLine="640" w:firstLineChars="200"/>
        <w:rPr>
          <w:rFonts w:hint="eastAsia" w:ascii="宋体" w:hAnsi="宋体" w:eastAsia="宋体"/>
          <w:sz w:val="32"/>
          <w:szCs w:val="32"/>
        </w:rPr>
      </w:pPr>
      <w:r>
        <w:rPr>
          <w:rFonts w:hint="eastAsia" w:ascii="宋体" w:hAnsi="宋体" w:eastAsia="宋体"/>
          <w:sz w:val="32"/>
          <w:szCs w:val="32"/>
        </w:rPr>
        <w:t>社会保障和就业（类）行政事业单位养老支出</w:t>
      </w:r>
      <w:r>
        <w:rPr>
          <w:rFonts w:hint="eastAsia" w:ascii="宋体" w:hAnsi="宋体" w:eastAsia="宋体"/>
          <w:sz w:val="32"/>
          <w:szCs w:val="32"/>
          <w:lang w:eastAsia="zh-CN"/>
        </w:rPr>
        <w:t>（</w:t>
      </w:r>
      <w:r>
        <w:rPr>
          <w:rFonts w:hint="eastAsia" w:ascii="宋体" w:hAnsi="宋体" w:eastAsia="宋体"/>
          <w:sz w:val="32"/>
          <w:szCs w:val="32"/>
          <w:lang w:val="en-US" w:eastAsia="zh-CN"/>
        </w:rPr>
        <w:t>款）</w:t>
      </w:r>
      <w:r>
        <w:rPr>
          <w:rFonts w:hint="eastAsia" w:ascii="宋体" w:hAnsi="宋体" w:eastAsia="宋体"/>
          <w:sz w:val="32"/>
          <w:szCs w:val="32"/>
        </w:rPr>
        <w:t>机关事业单位基本养老保险缴费支出（项）。</w:t>
      </w:r>
    </w:p>
    <w:p>
      <w:pPr>
        <w:pStyle w:val="12"/>
        <w:ind w:firstLine="640" w:firstLineChars="200"/>
        <w:rPr>
          <w:rFonts w:hint="eastAsia" w:ascii="宋体" w:hAnsi="宋体" w:eastAsia="宋体"/>
          <w:sz w:val="32"/>
          <w:szCs w:val="32"/>
        </w:rPr>
      </w:pPr>
      <w:r>
        <w:rPr>
          <w:rFonts w:hint="eastAsia" w:ascii="宋体" w:hAnsi="宋体" w:eastAsia="宋体"/>
          <w:sz w:val="32"/>
          <w:szCs w:val="32"/>
        </w:rPr>
        <w:t>年初预算为</w:t>
      </w:r>
      <w:r>
        <w:rPr>
          <w:rFonts w:hint="eastAsia" w:ascii="宋体" w:hAnsi="宋体" w:eastAsia="宋体"/>
          <w:sz w:val="32"/>
          <w:szCs w:val="32"/>
          <w:lang w:val="en-US" w:eastAsia="zh-CN"/>
        </w:rPr>
        <w:t>23.83</w:t>
      </w:r>
      <w:r>
        <w:rPr>
          <w:rFonts w:hint="eastAsia" w:ascii="宋体" w:hAnsi="宋体" w:eastAsia="宋体"/>
          <w:sz w:val="32"/>
          <w:szCs w:val="32"/>
        </w:rPr>
        <w:t>万元，</w:t>
      </w:r>
      <w:r>
        <w:rPr>
          <w:rFonts w:hint="eastAsia" w:ascii="宋体" w:hAnsi="宋体" w:eastAsia="宋体"/>
          <w:sz w:val="32"/>
          <w:szCs w:val="32"/>
          <w:lang w:val="en-US" w:eastAsia="zh-CN"/>
        </w:rPr>
        <w:t>年中因人事变动划转经费0.43万元， 收入计24.26万元，</w:t>
      </w:r>
      <w:r>
        <w:rPr>
          <w:rFonts w:hint="eastAsia" w:ascii="宋体" w:hAnsi="宋体" w:eastAsia="宋体"/>
          <w:sz w:val="32"/>
          <w:szCs w:val="32"/>
        </w:rPr>
        <w:t>支出决算为</w:t>
      </w:r>
      <w:r>
        <w:rPr>
          <w:rFonts w:hint="eastAsia" w:ascii="宋体" w:hAnsi="宋体" w:eastAsia="宋体"/>
          <w:sz w:val="32"/>
          <w:szCs w:val="32"/>
          <w:lang w:val="en-US" w:eastAsia="zh-CN"/>
        </w:rPr>
        <w:t>24.26</w:t>
      </w:r>
      <w:r>
        <w:rPr>
          <w:rFonts w:hint="eastAsia" w:ascii="宋体" w:hAnsi="宋体" w:eastAsia="宋体"/>
          <w:sz w:val="32"/>
          <w:szCs w:val="32"/>
        </w:rPr>
        <w:t>万元，完成预算的</w:t>
      </w:r>
      <w:r>
        <w:rPr>
          <w:rFonts w:hint="eastAsia" w:ascii="宋体" w:hAnsi="宋体" w:eastAsia="宋体"/>
          <w:sz w:val="32"/>
          <w:szCs w:val="32"/>
          <w:lang w:val="en-US" w:eastAsia="zh-CN"/>
        </w:rPr>
        <w:t>100</w:t>
      </w:r>
      <w:r>
        <w:rPr>
          <w:rFonts w:ascii="宋体" w:hAnsi="宋体" w:eastAsia="宋体"/>
          <w:sz w:val="32"/>
          <w:szCs w:val="32"/>
        </w:rPr>
        <w:t>%</w:t>
      </w:r>
      <w:r>
        <w:rPr>
          <w:rFonts w:hint="eastAsia" w:ascii="宋体" w:hAnsi="宋体" w:eastAsia="宋体"/>
          <w:sz w:val="32"/>
          <w:szCs w:val="32"/>
        </w:rPr>
        <w:t>。</w:t>
      </w:r>
    </w:p>
    <w:p>
      <w:pPr>
        <w:pStyle w:val="12"/>
        <w:numPr>
          <w:ilvl w:val="0"/>
          <w:numId w:val="3"/>
        </w:numPr>
        <w:ind w:left="0" w:leftChars="0" w:firstLine="640" w:firstLineChars="200"/>
        <w:rPr>
          <w:rFonts w:hint="eastAsia" w:ascii="宋体" w:hAnsi="宋体" w:eastAsia="宋体"/>
          <w:sz w:val="32"/>
          <w:szCs w:val="32"/>
        </w:rPr>
      </w:pPr>
      <w:r>
        <w:rPr>
          <w:rFonts w:hint="eastAsia" w:ascii="宋体" w:hAnsi="宋体" w:eastAsia="宋体"/>
          <w:sz w:val="32"/>
          <w:szCs w:val="32"/>
        </w:rPr>
        <w:t>社会保障和就业（类）行政事业单位养老支出</w:t>
      </w:r>
      <w:r>
        <w:rPr>
          <w:rFonts w:hint="eastAsia" w:ascii="宋体" w:hAnsi="宋体" w:eastAsia="宋体"/>
          <w:sz w:val="32"/>
          <w:szCs w:val="32"/>
          <w:lang w:eastAsia="zh-CN"/>
        </w:rPr>
        <w:t>（</w:t>
      </w:r>
      <w:r>
        <w:rPr>
          <w:rFonts w:hint="eastAsia" w:ascii="宋体" w:hAnsi="宋体" w:eastAsia="宋体"/>
          <w:sz w:val="32"/>
          <w:szCs w:val="32"/>
          <w:lang w:val="en-US" w:eastAsia="zh-CN"/>
        </w:rPr>
        <w:t>款）</w:t>
      </w:r>
      <w:r>
        <w:rPr>
          <w:rFonts w:hint="eastAsia" w:ascii="宋体" w:hAnsi="宋体" w:eastAsia="宋体"/>
          <w:sz w:val="32"/>
          <w:szCs w:val="32"/>
        </w:rPr>
        <w:t>机关事业单位职业年金缴费支出（项）。</w:t>
      </w:r>
    </w:p>
    <w:p>
      <w:pPr>
        <w:pStyle w:val="12"/>
        <w:ind w:firstLine="800" w:firstLineChars="250"/>
        <w:rPr>
          <w:rFonts w:hint="eastAsia" w:ascii="宋体" w:hAnsi="宋体" w:eastAsia="宋体"/>
          <w:sz w:val="32"/>
          <w:szCs w:val="32"/>
        </w:rPr>
      </w:pPr>
      <w:r>
        <w:rPr>
          <w:rFonts w:hint="eastAsia" w:ascii="宋体" w:hAnsi="宋体" w:eastAsia="宋体"/>
          <w:sz w:val="32"/>
          <w:szCs w:val="32"/>
        </w:rPr>
        <w:t>年初预算为</w:t>
      </w:r>
      <w:r>
        <w:rPr>
          <w:rFonts w:hint="eastAsia" w:ascii="宋体" w:hAnsi="宋体" w:eastAsia="宋体"/>
          <w:sz w:val="32"/>
          <w:szCs w:val="32"/>
          <w:lang w:val="en-US" w:eastAsia="zh-CN"/>
        </w:rPr>
        <w:t>11.92</w:t>
      </w:r>
      <w:r>
        <w:rPr>
          <w:rFonts w:hint="eastAsia" w:ascii="宋体" w:hAnsi="宋体" w:eastAsia="宋体"/>
          <w:sz w:val="32"/>
          <w:szCs w:val="32"/>
        </w:rPr>
        <w:t>万元，</w:t>
      </w:r>
      <w:r>
        <w:rPr>
          <w:rFonts w:hint="eastAsia" w:ascii="宋体" w:hAnsi="宋体" w:eastAsia="宋体"/>
          <w:sz w:val="32"/>
          <w:szCs w:val="32"/>
          <w:lang w:val="en-US" w:eastAsia="zh-CN"/>
        </w:rPr>
        <w:t>年中因人事变动划转经费0.21万元， 收入计12.13万元，</w:t>
      </w:r>
      <w:r>
        <w:rPr>
          <w:rFonts w:hint="eastAsia" w:ascii="宋体" w:hAnsi="宋体" w:eastAsia="宋体"/>
          <w:sz w:val="32"/>
          <w:szCs w:val="32"/>
        </w:rPr>
        <w:t>支出决算为</w:t>
      </w:r>
      <w:r>
        <w:rPr>
          <w:rFonts w:hint="eastAsia" w:ascii="宋体" w:hAnsi="宋体" w:eastAsia="宋体"/>
          <w:sz w:val="32"/>
          <w:szCs w:val="32"/>
          <w:lang w:val="en-US" w:eastAsia="zh-CN"/>
        </w:rPr>
        <w:t>12.13</w:t>
      </w:r>
      <w:r>
        <w:rPr>
          <w:rFonts w:hint="eastAsia" w:ascii="宋体" w:hAnsi="宋体" w:eastAsia="宋体"/>
          <w:sz w:val="32"/>
          <w:szCs w:val="32"/>
        </w:rPr>
        <w:t>万元，完成预算的</w:t>
      </w:r>
      <w:r>
        <w:rPr>
          <w:rFonts w:hint="eastAsia" w:ascii="宋体" w:hAnsi="宋体" w:eastAsia="宋体"/>
          <w:sz w:val="32"/>
          <w:szCs w:val="32"/>
          <w:lang w:val="en-US" w:eastAsia="zh-CN"/>
        </w:rPr>
        <w:t>100</w:t>
      </w:r>
      <w:r>
        <w:rPr>
          <w:rFonts w:ascii="宋体" w:hAnsi="宋体" w:eastAsia="宋体"/>
          <w:sz w:val="32"/>
          <w:szCs w:val="32"/>
        </w:rPr>
        <w:t>%</w:t>
      </w:r>
      <w:r>
        <w:rPr>
          <w:rFonts w:hint="eastAsia" w:ascii="宋体" w:hAnsi="宋体" w:eastAsia="宋体"/>
          <w:sz w:val="32"/>
          <w:szCs w:val="32"/>
        </w:rPr>
        <w:t>。</w:t>
      </w:r>
    </w:p>
    <w:p>
      <w:pPr>
        <w:pStyle w:val="12"/>
        <w:ind w:firstLine="800" w:firstLineChars="250"/>
        <w:rPr>
          <w:rFonts w:ascii="宋体" w:hAnsi="宋体" w:eastAsia="宋体"/>
          <w:sz w:val="32"/>
          <w:szCs w:val="32"/>
        </w:rPr>
      </w:pPr>
      <w:r>
        <w:rPr>
          <w:rFonts w:hint="eastAsia" w:ascii="宋体" w:hAnsi="宋体" w:eastAsia="宋体"/>
          <w:sz w:val="32"/>
          <w:szCs w:val="32"/>
          <w:lang w:val="en-US" w:eastAsia="zh-CN"/>
        </w:rPr>
        <w:t>12</w:t>
      </w:r>
      <w:r>
        <w:rPr>
          <w:rFonts w:hint="eastAsia" w:ascii="宋体" w:hAnsi="宋体" w:eastAsia="宋体"/>
          <w:sz w:val="32"/>
          <w:szCs w:val="32"/>
        </w:rPr>
        <w:t>、卫生健康（类）行政事业单位医疗（款）事业单位医疗（项）。</w:t>
      </w:r>
    </w:p>
    <w:p>
      <w:pPr>
        <w:pStyle w:val="12"/>
        <w:ind w:firstLine="800" w:firstLineChars="250"/>
        <w:rPr>
          <w:rFonts w:hint="eastAsia" w:ascii="宋体" w:hAnsi="宋体" w:eastAsia="宋体"/>
          <w:sz w:val="32"/>
          <w:szCs w:val="32"/>
        </w:rPr>
      </w:pPr>
      <w:r>
        <w:rPr>
          <w:rFonts w:hint="eastAsia" w:ascii="宋体" w:hAnsi="宋体" w:eastAsia="宋体"/>
          <w:sz w:val="32"/>
          <w:szCs w:val="32"/>
        </w:rPr>
        <w:t>年初预算为</w:t>
      </w:r>
      <w:r>
        <w:rPr>
          <w:rFonts w:hint="eastAsia" w:ascii="宋体" w:hAnsi="宋体" w:eastAsia="宋体"/>
          <w:sz w:val="32"/>
          <w:szCs w:val="32"/>
          <w:lang w:val="en-US" w:eastAsia="zh-CN"/>
        </w:rPr>
        <w:t>12.66</w:t>
      </w:r>
      <w:r>
        <w:rPr>
          <w:rFonts w:hint="eastAsia" w:ascii="宋体" w:hAnsi="宋体" w:eastAsia="宋体"/>
          <w:sz w:val="32"/>
          <w:szCs w:val="32"/>
        </w:rPr>
        <w:t>万元，</w:t>
      </w:r>
      <w:r>
        <w:rPr>
          <w:rFonts w:hint="eastAsia" w:ascii="宋体" w:hAnsi="宋体" w:eastAsia="宋体"/>
          <w:sz w:val="32"/>
          <w:szCs w:val="32"/>
          <w:lang w:val="en-US" w:eastAsia="zh-CN"/>
        </w:rPr>
        <w:t>年中因人事变动划转经费0.21万元， 收入计12.87万元，</w:t>
      </w:r>
      <w:r>
        <w:rPr>
          <w:rFonts w:hint="eastAsia" w:ascii="宋体" w:hAnsi="宋体" w:eastAsia="宋体"/>
          <w:sz w:val="32"/>
          <w:szCs w:val="32"/>
        </w:rPr>
        <w:t>支出决算为</w:t>
      </w:r>
      <w:r>
        <w:rPr>
          <w:rFonts w:hint="eastAsia" w:ascii="宋体" w:hAnsi="宋体" w:eastAsia="宋体"/>
          <w:sz w:val="32"/>
          <w:szCs w:val="32"/>
          <w:lang w:val="en-US" w:eastAsia="zh-CN"/>
        </w:rPr>
        <w:t>12.87</w:t>
      </w:r>
      <w:r>
        <w:rPr>
          <w:rFonts w:hint="eastAsia" w:ascii="宋体" w:hAnsi="宋体" w:eastAsia="宋体"/>
          <w:sz w:val="32"/>
          <w:szCs w:val="32"/>
        </w:rPr>
        <w:t>万元，完成预算的</w:t>
      </w:r>
      <w:r>
        <w:rPr>
          <w:rFonts w:hint="eastAsia" w:ascii="宋体" w:hAnsi="宋体" w:eastAsia="宋体"/>
          <w:sz w:val="32"/>
          <w:szCs w:val="32"/>
          <w:lang w:val="en-US" w:eastAsia="zh-CN"/>
        </w:rPr>
        <w:t>100</w:t>
      </w:r>
      <w:r>
        <w:rPr>
          <w:rFonts w:ascii="宋体" w:hAnsi="宋体" w:eastAsia="宋体"/>
          <w:sz w:val="32"/>
          <w:szCs w:val="32"/>
        </w:rPr>
        <w:t>%</w:t>
      </w:r>
      <w:r>
        <w:rPr>
          <w:rFonts w:hint="eastAsia" w:ascii="宋体" w:hAnsi="宋体" w:eastAsia="宋体"/>
          <w:sz w:val="32"/>
          <w:szCs w:val="32"/>
        </w:rPr>
        <w:t>。</w:t>
      </w:r>
    </w:p>
    <w:p>
      <w:pPr>
        <w:pStyle w:val="12"/>
        <w:ind w:firstLine="800" w:firstLineChars="250"/>
        <w:rPr>
          <w:rFonts w:ascii="宋体" w:hAnsi="宋体" w:eastAsia="宋体"/>
          <w:sz w:val="32"/>
          <w:szCs w:val="32"/>
        </w:rPr>
      </w:pPr>
      <w:r>
        <w:rPr>
          <w:rFonts w:hint="eastAsia" w:ascii="宋体" w:hAnsi="宋体" w:eastAsia="宋体"/>
          <w:sz w:val="32"/>
          <w:szCs w:val="32"/>
          <w:lang w:val="en-US" w:eastAsia="zh-CN"/>
        </w:rPr>
        <w:t>13、住房保障</w:t>
      </w:r>
      <w:r>
        <w:rPr>
          <w:rFonts w:hint="eastAsia" w:ascii="宋体" w:hAnsi="宋体" w:eastAsia="宋体"/>
          <w:sz w:val="32"/>
          <w:szCs w:val="32"/>
        </w:rPr>
        <w:t>（类）住房改革支出（款）住房公积金（项）。</w:t>
      </w:r>
    </w:p>
    <w:p>
      <w:pPr>
        <w:pStyle w:val="12"/>
        <w:ind w:firstLine="800" w:firstLineChars="250"/>
        <w:rPr>
          <w:rFonts w:hint="eastAsia" w:ascii="宋体" w:hAnsi="宋体" w:eastAsia="宋体"/>
          <w:sz w:val="32"/>
          <w:szCs w:val="32"/>
        </w:rPr>
      </w:pPr>
      <w:r>
        <w:rPr>
          <w:rFonts w:hint="eastAsia" w:ascii="宋体" w:hAnsi="宋体" w:eastAsia="宋体"/>
          <w:sz w:val="32"/>
          <w:szCs w:val="32"/>
        </w:rPr>
        <w:t>年初预算为</w:t>
      </w:r>
      <w:r>
        <w:rPr>
          <w:rFonts w:hint="eastAsia" w:ascii="宋体" w:hAnsi="宋体" w:eastAsia="宋体"/>
          <w:sz w:val="32"/>
          <w:szCs w:val="32"/>
          <w:lang w:val="en-US" w:eastAsia="zh-CN"/>
        </w:rPr>
        <w:t>17.87</w:t>
      </w:r>
      <w:r>
        <w:rPr>
          <w:rFonts w:hint="eastAsia" w:ascii="宋体" w:hAnsi="宋体" w:eastAsia="宋体"/>
          <w:sz w:val="32"/>
          <w:szCs w:val="32"/>
        </w:rPr>
        <w:t>万元，</w:t>
      </w:r>
      <w:r>
        <w:rPr>
          <w:rFonts w:hint="eastAsia" w:ascii="宋体" w:hAnsi="宋体" w:eastAsia="宋体"/>
          <w:sz w:val="32"/>
          <w:szCs w:val="32"/>
          <w:lang w:val="en-US" w:eastAsia="zh-CN"/>
        </w:rPr>
        <w:t>年中因人事变动划转经费0.15万元， 收入计18.02万元，</w:t>
      </w:r>
      <w:r>
        <w:rPr>
          <w:rFonts w:hint="eastAsia" w:ascii="宋体" w:hAnsi="宋体" w:eastAsia="宋体"/>
          <w:sz w:val="32"/>
          <w:szCs w:val="32"/>
        </w:rPr>
        <w:t>支出决算为</w:t>
      </w:r>
      <w:r>
        <w:rPr>
          <w:rFonts w:hint="eastAsia" w:ascii="宋体" w:hAnsi="宋体" w:eastAsia="宋体"/>
          <w:sz w:val="32"/>
          <w:szCs w:val="32"/>
          <w:lang w:val="en-US" w:eastAsia="zh-CN"/>
        </w:rPr>
        <w:t>18.02</w:t>
      </w:r>
      <w:r>
        <w:rPr>
          <w:rFonts w:hint="eastAsia" w:ascii="宋体" w:hAnsi="宋体" w:eastAsia="宋体"/>
          <w:sz w:val="32"/>
          <w:szCs w:val="32"/>
        </w:rPr>
        <w:t>万元，完成预算的</w:t>
      </w:r>
      <w:r>
        <w:rPr>
          <w:rFonts w:hint="eastAsia" w:ascii="宋体" w:hAnsi="宋体" w:eastAsia="宋体"/>
          <w:sz w:val="32"/>
          <w:szCs w:val="32"/>
          <w:lang w:val="en-US" w:eastAsia="zh-CN"/>
        </w:rPr>
        <w:t>100</w:t>
      </w:r>
      <w:r>
        <w:rPr>
          <w:rFonts w:ascii="宋体" w:hAnsi="宋体" w:eastAsia="宋体"/>
          <w:sz w:val="32"/>
          <w:szCs w:val="32"/>
        </w:rPr>
        <w:t>%</w:t>
      </w:r>
      <w:r>
        <w:rPr>
          <w:rFonts w:hint="eastAsia" w:ascii="宋体" w:hAnsi="宋体" w:eastAsia="宋体"/>
          <w:sz w:val="32"/>
          <w:szCs w:val="32"/>
        </w:rPr>
        <w:t>。</w:t>
      </w:r>
    </w:p>
    <w:p>
      <w:pPr>
        <w:pStyle w:val="12"/>
        <w:rPr>
          <w:rFonts w:hAnsi="黑体"/>
          <w:b/>
          <w:sz w:val="32"/>
          <w:szCs w:val="32"/>
        </w:rPr>
      </w:pPr>
      <w:r>
        <w:rPr>
          <w:rFonts w:hint="eastAsia" w:hAnsi="黑体"/>
          <w:b/>
          <w:sz w:val="32"/>
          <w:szCs w:val="32"/>
        </w:rPr>
        <w:t>六、一般公共预算财政拨款基本支出决算情况说明</w:t>
      </w:r>
    </w:p>
    <w:p>
      <w:pPr>
        <w:pStyle w:val="6"/>
        <w:shd w:val="clear" w:color="auto" w:fill="FFFFFF"/>
        <w:spacing w:before="0" w:beforeAutospacing="0" w:after="0" w:afterAutospacing="0"/>
        <w:ind w:firstLine="640" w:firstLineChars="200"/>
        <w:rPr>
          <w:sz w:val="32"/>
          <w:szCs w:val="32"/>
        </w:rPr>
      </w:pPr>
      <w:r>
        <w:rPr>
          <w:bCs/>
          <w:sz w:val="32"/>
          <w:szCs w:val="32"/>
        </w:rPr>
        <w:t>20</w:t>
      </w:r>
      <w:r>
        <w:rPr>
          <w:rFonts w:hint="eastAsia"/>
          <w:bCs/>
          <w:sz w:val="32"/>
          <w:szCs w:val="32"/>
          <w:lang w:val="en-US" w:eastAsia="zh-CN"/>
        </w:rPr>
        <w:t>21</w:t>
      </w:r>
      <w:r>
        <w:rPr>
          <w:rFonts w:hint="eastAsia"/>
          <w:bCs/>
          <w:sz w:val="32"/>
          <w:szCs w:val="32"/>
        </w:rPr>
        <w:t>年度财政拨款基本支出</w:t>
      </w:r>
      <w:r>
        <w:rPr>
          <w:rFonts w:hint="eastAsia"/>
          <w:bCs/>
          <w:sz w:val="32"/>
          <w:szCs w:val="32"/>
          <w:lang w:val="en-US" w:eastAsia="zh-CN"/>
        </w:rPr>
        <w:t>374.21</w:t>
      </w:r>
      <w:r>
        <w:rPr>
          <w:rFonts w:hint="eastAsia"/>
          <w:bCs/>
          <w:sz w:val="32"/>
          <w:szCs w:val="32"/>
        </w:rPr>
        <w:t>万元，其中：人员经费</w:t>
      </w:r>
      <w:r>
        <w:rPr>
          <w:rFonts w:hint="eastAsia"/>
          <w:bCs/>
          <w:sz w:val="32"/>
          <w:szCs w:val="32"/>
          <w:lang w:val="en-US" w:eastAsia="zh-CN"/>
        </w:rPr>
        <w:t>348.75</w:t>
      </w:r>
      <w:r>
        <w:rPr>
          <w:rFonts w:hint="eastAsia"/>
          <w:bCs/>
          <w:sz w:val="32"/>
          <w:szCs w:val="32"/>
        </w:rPr>
        <w:t>万元，占基本支出的</w:t>
      </w:r>
      <w:r>
        <w:rPr>
          <w:rFonts w:hint="eastAsia"/>
          <w:bCs/>
          <w:sz w:val="32"/>
          <w:szCs w:val="32"/>
          <w:lang w:val="en-US" w:eastAsia="zh-CN"/>
        </w:rPr>
        <w:t>93.2</w:t>
      </w:r>
      <w:r>
        <w:rPr>
          <w:bCs/>
          <w:sz w:val="32"/>
          <w:szCs w:val="32"/>
        </w:rPr>
        <w:t>%,</w:t>
      </w:r>
      <w:r>
        <w:rPr>
          <w:rFonts w:hint="eastAsia"/>
          <w:bCs/>
          <w:sz w:val="32"/>
          <w:szCs w:val="32"/>
        </w:rPr>
        <w:t>主要包括</w:t>
      </w:r>
      <w:r>
        <w:rPr>
          <w:rFonts w:hint="eastAsia"/>
          <w:sz w:val="32"/>
          <w:szCs w:val="32"/>
        </w:rPr>
        <w:t>基本工资、津贴补贴、奖金、</w:t>
      </w:r>
      <w:r>
        <w:rPr>
          <w:rFonts w:hint="eastAsia"/>
          <w:sz w:val="32"/>
          <w:szCs w:val="32"/>
          <w:lang w:val="en-US" w:eastAsia="zh-CN"/>
        </w:rPr>
        <w:t>伙食补助费、绩效工资、</w:t>
      </w:r>
      <w:r>
        <w:rPr>
          <w:rFonts w:hint="eastAsia"/>
          <w:sz w:val="32"/>
          <w:szCs w:val="32"/>
        </w:rPr>
        <w:t>机关事业单位基本养老保险缴费、职业年金缴费</w:t>
      </w:r>
      <w:r>
        <w:rPr>
          <w:rFonts w:hint="eastAsia"/>
          <w:sz w:val="32"/>
          <w:szCs w:val="32"/>
          <w:lang w:eastAsia="zh-CN"/>
        </w:rPr>
        <w:t>、</w:t>
      </w:r>
      <w:r>
        <w:rPr>
          <w:rFonts w:hint="eastAsia"/>
          <w:sz w:val="32"/>
          <w:szCs w:val="32"/>
        </w:rPr>
        <w:t xml:space="preserve"> 职工基本医疗保险缴费</w:t>
      </w:r>
      <w:r>
        <w:rPr>
          <w:rFonts w:hint="eastAsia"/>
          <w:sz w:val="32"/>
          <w:szCs w:val="32"/>
          <w:lang w:eastAsia="zh-CN"/>
        </w:rPr>
        <w:t>、</w:t>
      </w:r>
      <w:r>
        <w:rPr>
          <w:rFonts w:hint="eastAsia"/>
          <w:sz w:val="32"/>
          <w:szCs w:val="32"/>
        </w:rPr>
        <w:t>其他社会保障缴费、住房公积金</w:t>
      </w:r>
      <w:r>
        <w:rPr>
          <w:rFonts w:hint="eastAsia"/>
          <w:sz w:val="32"/>
          <w:szCs w:val="32"/>
          <w:lang w:eastAsia="zh-CN"/>
        </w:rPr>
        <w:t>、其他工资福利支出、</w:t>
      </w:r>
      <w:r>
        <w:rPr>
          <w:rFonts w:hint="eastAsia"/>
          <w:sz w:val="32"/>
          <w:szCs w:val="32"/>
        </w:rPr>
        <w:t>退休费</w:t>
      </w:r>
      <w:r>
        <w:rPr>
          <w:rFonts w:hint="eastAsia"/>
          <w:sz w:val="32"/>
          <w:szCs w:val="32"/>
          <w:lang w:eastAsia="zh-CN"/>
        </w:rPr>
        <w:t>、</w:t>
      </w:r>
      <w:r>
        <w:rPr>
          <w:rFonts w:hint="eastAsia"/>
          <w:sz w:val="32"/>
          <w:szCs w:val="32"/>
          <w:lang w:val="en-US" w:eastAsia="zh-CN"/>
        </w:rPr>
        <w:t>生活补助、奖励金；</w:t>
      </w:r>
      <w:r>
        <w:rPr>
          <w:rFonts w:hint="eastAsia"/>
          <w:bCs/>
          <w:sz w:val="32"/>
          <w:szCs w:val="32"/>
        </w:rPr>
        <w:t>公用经费</w:t>
      </w:r>
      <w:r>
        <w:rPr>
          <w:rFonts w:hint="eastAsia"/>
          <w:bCs/>
          <w:sz w:val="32"/>
          <w:szCs w:val="32"/>
          <w:lang w:val="en-US" w:eastAsia="zh-CN"/>
        </w:rPr>
        <w:t>25.46万元，占基本支出的6.8%，主要包括办公费、咨询费、水电费、邮电费、差旅费、维修（护）费、公务接待费、专用材料费、劳务费、委托业务费、工会经费、福利费、公务用车运行维护费、其他交通费用、其他商品和服务支出、办公设备购置费</w:t>
      </w:r>
      <w:r>
        <w:rPr>
          <w:rFonts w:hint="eastAsia"/>
          <w:bCs/>
          <w:sz w:val="32"/>
          <w:szCs w:val="32"/>
        </w:rPr>
        <w:t>。</w:t>
      </w:r>
    </w:p>
    <w:p>
      <w:pPr>
        <w:pStyle w:val="12"/>
        <w:rPr>
          <w:rFonts w:hAnsi="黑体"/>
          <w:b/>
          <w:sz w:val="32"/>
          <w:szCs w:val="32"/>
        </w:rPr>
      </w:pPr>
      <w:r>
        <w:rPr>
          <w:rFonts w:hint="eastAsia" w:hAnsi="黑体"/>
          <w:b/>
          <w:sz w:val="32"/>
          <w:szCs w:val="32"/>
        </w:rPr>
        <w:t>七、一般公共预算财政拨款“三公”经费支出决算情况说明</w:t>
      </w:r>
    </w:p>
    <w:p>
      <w:pPr>
        <w:pStyle w:val="12"/>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10.3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3.37</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32.72</w:t>
      </w:r>
      <w:r>
        <w:rPr>
          <w:rFonts w:hint="eastAsia" w:asciiTheme="minorEastAsia" w:hAnsiTheme="minorEastAsia" w:eastAsiaTheme="minorEastAsia"/>
          <w:sz w:val="32"/>
          <w:szCs w:val="32"/>
        </w:rPr>
        <w:t>%，其中：</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2"/>
        <w:ind w:firstLine="640" w:firstLineChars="200"/>
        <w:rPr>
          <w:rFonts w:hint="default" w:ascii="宋体" w:hAnsi="宋体" w:eastAsia="宋体"/>
          <w:sz w:val="32"/>
          <w:szCs w:val="32"/>
          <w:lang w:val="en-US"/>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4.75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0.71</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14.95</w:t>
      </w:r>
      <w:r>
        <w:rPr>
          <w:rFonts w:hint="eastAsia" w:asciiTheme="minorEastAsia" w:hAnsiTheme="minorEastAsia" w:eastAsiaTheme="minorEastAsia"/>
          <w:sz w:val="32"/>
          <w:szCs w:val="32"/>
        </w:rPr>
        <w:t>%，决算数小于预算数的主要原因是</w:t>
      </w:r>
      <w:r>
        <w:rPr>
          <w:rFonts w:hint="eastAsia" w:ascii="宋体" w:hAnsi="宋体" w:eastAsia="宋体"/>
          <w:sz w:val="32"/>
          <w:szCs w:val="32"/>
        </w:rPr>
        <w:t>我园</w:t>
      </w:r>
      <w:r>
        <w:rPr>
          <w:rFonts w:hint="eastAsia" w:ascii="宋体" w:hAnsi="宋体" w:eastAsia="宋体"/>
          <w:sz w:val="32"/>
          <w:szCs w:val="32"/>
          <w:lang w:eastAsia="zh-CN"/>
        </w:rPr>
        <w:t>严格遵守中央八项规定，</w:t>
      </w:r>
      <w:r>
        <w:rPr>
          <w:rFonts w:hint="eastAsia" w:ascii="宋体" w:hAnsi="宋体" w:eastAsia="宋体"/>
          <w:sz w:val="32"/>
          <w:szCs w:val="32"/>
        </w:rPr>
        <w:t>严格三公经费支出的审核，把关和规范三公经费支出程序。</w:t>
      </w:r>
      <w:r>
        <w:rPr>
          <w:rFonts w:hint="eastAsia" w:asciiTheme="minorEastAsia" w:hAnsiTheme="minorEastAsia" w:eastAsiaTheme="minorEastAsia"/>
          <w:sz w:val="32"/>
          <w:szCs w:val="32"/>
        </w:rPr>
        <w:t>与上年相比增加</w:t>
      </w:r>
      <w:r>
        <w:rPr>
          <w:rFonts w:hint="eastAsia" w:asciiTheme="minorEastAsia" w:hAnsiTheme="minorEastAsia" w:eastAsiaTheme="minorEastAsia"/>
          <w:sz w:val="32"/>
          <w:szCs w:val="32"/>
          <w:lang w:val="en-US" w:eastAsia="zh-CN"/>
        </w:rPr>
        <w:t>0.05</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7.58</w:t>
      </w:r>
      <w:r>
        <w:rPr>
          <w:rFonts w:hint="eastAsia" w:asciiTheme="minorEastAsia" w:hAnsiTheme="minorEastAsia" w:eastAsiaTheme="minorEastAsia"/>
          <w:sz w:val="32"/>
          <w:szCs w:val="32"/>
        </w:rPr>
        <w:t>%,</w:t>
      </w:r>
      <w:r>
        <w:rPr>
          <w:rFonts w:hint="eastAsia" w:ascii="宋体" w:hAnsi="宋体" w:eastAsia="宋体"/>
          <w:sz w:val="32"/>
          <w:szCs w:val="32"/>
          <w:lang w:val="en-US" w:eastAsia="zh-CN"/>
        </w:rPr>
        <w:t>与上年相比基本持平。</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w:t>
      </w:r>
    </w:p>
    <w:p>
      <w:pPr>
        <w:pStyle w:val="12"/>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5.55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2.66</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47.93</w:t>
      </w:r>
      <w:r>
        <w:rPr>
          <w:rFonts w:hint="eastAsia" w:asciiTheme="minorEastAsia" w:hAnsiTheme="minorEastAsia" w:eastAsiaTheme="minorEastAsia"/>
          <w:sz w:val="32"/>
          <w:szCs w:val="32"/>
        </w:rPr>
        <w:t>%，决算数小于预算数的主要原因是</w:t>
      </w:r>
      <w:r>
        <w:rPr>
          <w:rFonts w:hint="eastAsia" w:ascii="宋体" w:hAnsi="宋体" w:eastAsia="宋体"/>
          <w:sz w:val="32"/>
          <w:szCs w:val="32"/>
        </w:rPr>
        <w:t>我园较好的落实了中央和市委市政府要求，厉行节约，压缩一般性经费支出，严</w:t>
      </w:r>
      <w:r>
        <w:rPr>
          <w:rFonts w:hint="eastAsia" w:ascii="宋体" w:hAnsi="宋体" w:eastAsia="宋体"/>
          <w:sz w:val="32"/>
          <w:szCs w:val="32"/>
          <w:lang w:eastAsia="zh-CN"/>
        </w:rPr>
        <w:t>控</w:t>
      </w:r>
      <w:r>
        <w:rPr>
          <w:rFonts w:hint="eastAsia" w:ascii="宋体" w:hAnsi="宋体" w:eastAsia="宋体"/>
          <w:sz w:val="32"/>
          <w:szCs w:val="32"/>
        </w:rPr>
        <w:t>三公经费</w:t>
      </w:r>
      <w:r>
        <w:rPr>
          <w:rFonts w:hint="eastAsia" w:ascii="宋体" w:hAnsi="宋体" w:eastAsia="宋体"/>
          <w:sz w:val="32"/>
          <w:szCs w:val="32"/>
          <w:lang w:eastAsia="zh-CN"/>
        </w:rPr>
        <w:t>开支</w:t>
      </w:r>
      <w:r>
        <w:rPr>
          <w:rFonts w:hint="eastAsia" w:ascii="宋体" w:hAnsi="宋体" w:eastAsia="宋体"/>
          <w:sz w:val="32"/>
          <w:szCs w:val="32"/>
        </w:rPr>
        <w:t>。</w:t>
      </w:r>
      <w:r>
        <w:rPr>
          <w:rFonts w:hint="eastAsia" w:asciiTheme="minorEastAsia" w:hAnsiTheme="minorEastAsia" w:eastAsiaTheme="minorEastAsia"/>
          <w:sz w:val="32"/>
          <w:szCs w:val="32"/>
        </w:rPr>
        <w:t>与上年相比</w:t>
      </w:r>
      <w:r>
        <w:rPr>
          <w:rFonts w:hint="eastAsia" w:asciiTheme="minorEastAsia" w:hAnsiTheme="minorEastAsia" w:eastAsiaTheme="minorEastAsia"/>
          <w:sz w:val="32"/>
          <w:szCs w:val="32"/>
          <w:lang w:val="en-US" w:eastAsia="zh-CN"/>
        </w:rPr>
        <w:t>减少1.39</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减少34.32</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减少</w:t>
      </w:r>
      <w:r>
        <w:rPr>
          <w:rFonts w:hint="eastAsia" w:asciiTheme="minorEastAsia" w:hAnsiTheme="minorEastAsia" w:eastAsiaTheme="minorEastAsia"/>
          <w:sz w:val="32"/>
          <w:szCs w:val="32"/>
        </w:rPr>
        <w:t>的主要原因是</w:t>
      </w:r>
      <w:r>
        <w:rPr>
          <w:rFonts w:hint="eastAsia" w:asciiTheme="minorEastAsia" w:hAnsiTheme="minorEastAsia" w:eastAsiaTheme="minorEastAsia"/>
          <w:sz w:val="32"/>
          <w:szCs w:val="32"/>
          <w:lang w:val="en-US" w:eastAsia="zh-CN"/>
        </w:rPr>
        <w:t>下半年报废生产用车一台，费用相应减少</w:t>
      </w:r>
      <w:r>
        <w:rPr>
          <w:rFonts w:hint="eastAsia" w:asciiTheme="minorEastAsia" w:hAnsiTheme="minorEastAsia" w:eastAsiaTheme="minorEastAsia"/>
          <w:sz w:val="32"/>
          <w:szCs w:val="32"/>
        </w:rPr>
        <w:t>。</w:t>
      </w:r>
    </w:p>
    <w:p>
      <w:pPr>
        <w:pStyle w:val="12"/>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年度“三公”经费财政拨款支出决算中，公务接待费支出决算</w:t>
      </w:r>
      <w:r>
        <w:rPr>
          <w:rFonts w:hint="eastAsia" w:asciiTheme="minorEastAsia" w:hAnsiTheme="minorEastAsia" w:eastAsiaTheme="minorEastAsia"/>
          <w:sz w:val="32"/>
          <w:szCs w:val="32"/>
          <w:lang w:val="en-US" w:eastAsia="zh-CN"/>
        </w:rPr>
        <w:t>0.71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21.07</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2.66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78.93</w:t>
      </w:r>
      <w:r>
        <w:rPr>
          <w:rFonts w:hint="eastAsia" w:asciiTheme="minorEastAsia" w:hAnsiTheme="minorEastAsia" w:eastAsiaTheme="minorEastAsia"/>
          <w:sz w:val="32"/>
          <w:szCs w:val="32"/>
        </w:rPr>
        <w:t>%。其中：</w:t>
      </w:r>
    </w:p>
    <w:p>
      <w:pPr>
        <w:pStyle w:val="12"/>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0.71</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86</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接待湘南起义将帅后代来郴及兄弟省市、各县市区来我馆考察学习交流</w:t>
      </w:r>
      <w:r>
        <w:rPr>
          <w:rFonts w:hint="eastAsia" w:asciiTheme="minorEastAsia" w:hAnsiTheme="minorEastAsia" w:eastAsiaTheme="minorEastAsia"/>
          <w:sz w:val="32"/>
          <w:szCs w:val="32"/>
        </w:rPr>
        <w:t>发生的接待支出。</w:t>
      </w:r>
    </w:p>
    <w:p>
      <w:pPr>
        <w:ind w:firstLine="800" w:firstLineChars="250"/>
        <w:rPr>
          <w:rFonts w:hint="eastAsia" w:cs="黑体" w:asciiTheme="minorEastAsia" w:hAnsiTheme="minorEastAsia"/>
          <w:i/>
          <w:color w:val="FF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2.66</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2.66</w:t>
      </w:r>
      <w:r>
        <w:rPr>
          <w:rFonts w:hint="eastAsia" w:asciiTheme="minorEastAsia" w:hAnsiTheme="minorEastAsia"/>
          <w:sz w:val="32"/>
          <w:szCs w:val="32"/>
        </w:rPr>
        <w:t>万元，主要是</w:t>
      </w:r>
      <w:r>
        <w:rPr>
          <w:rFonts w:hint="eastAsia" w:asciiTheme="minorEastAsia" w:hAnsiTheme="minorEastAsia"/>
          <w:sz w:val="32"/>
          <w:szCs w:val="32"/>
          <w:lang w:eastAsia="zh-CN"/>
        </w:rPr>
        <w:t>公务用车燃油费、保险费、车辆维修保养费等</w:t>
      </w:r>
      <w:r>
        <w:rPr>
          <w:rFonts w:hint="eastAsia" w:asciiTheme="minorEastAsia" w:hAnsiTheme="minorEastAsia"/>
          <w:sz w:val="32"/>
          <w:szCs w:val="32"/>
        </w:rPr>
        <w:t>支出，截止202</w:t>
      </w:r>
      <w:r>
        <w:rPr>
          <w:rFonts w:hint="eastAsia" w:asciiTheme="minorEastAsia" w:hAnsiTheme="minorEastAsia"/>
          <w:sz w:val="32"/>
          <w:szCs w:val="32"/>
          <w:lang w:val="en-US" w:eastAsia="zh-CN"/>
        </w:rPr>
        <w:t>1</w:t>
      </w:r>
      <w:r>
        <w:rPr>
          <w:rFonts w:hint="eastAsia" w:asciiTheme="minorEastAsia" w:hAnsiTheme="minorEastAsia"/>
          <w:sz w:val="32"/>
          <w:szCs w:val="32"/>
        </w:rPr>
        <w:t>年12月31日，我单位开支财政拨款的公务用车保有量为</w:t>
      </w:r>
      <w:r>
        <w:rPr>
          <w:rFonts w:hint="eastAsia" w:asciiTheme="minorEastAsia" w:hAnsiTheme="minorEastAsia"/>
          <w:sz w:val="32"/>
          <w:szCs w:val="32"/>
          <w:lang w:val="en-US" w:eastAsia="zh-CN"/>
        </w:rPr>
        <w:t>1</w:t>
      </w:r>
      <w:r>
        <w:rPr>
          <w:rFonts w:hint="eastAsia" w:asciiTheme="minorEastAsia" w:hAnsiTheme="minorEastAsia"/>
          <w:sz w:val="32"/>
          <w:szCs w:val="32"/>
        </w:rPr>
        <w:t>辆。</w:t>
      </w:r>
    </w:p>
    <w:p>
      <w:pPr>
        <w:pStyle w:val="12"/>
        <w:rPr>
          <w:rFonts w:hAnsi="黑体"/>
          <w:b/>
          <w:sz w:val="32"/>
          <w:szCs w:val="32"/>
        </w:rPr>
      </w:pPr>
      <w:r>
        <w:rPr>
          <w:rFonts w:hint="eastAsia" w:hAnsi="黑体"/>
          <w:b/>
          <w:sz w:val="32"/>
          <w:szCs w:val="32"/>
        </w:rPr>
        <w:t>八、政府性基金预算收入支出决算情况</w:t>
      </w:r>
    </w:p>
    <w:p>
      <w:pPr>
        <w:pStyle w:val="12"/>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w:t>
      </w:r>
      <w:r>
        <w:rPr>
          <w:rFonts w:hint="eastAsia" w:asciiTheme="minorEastAsia" w:hAnsiTheme="minorEastAsia" w:eastAsiaTheme="minorEastAsia"/>
          <w:sz w:val="32"/>
          <w:szCs w:val="32"/>
          <w:lang w:eastAsia="zh-CN"/>
        </w:rPr>
        <w:t>本单位无政府性基金收支。</w:t>
      </w:r>
      <w:r>
        <w:rPr>
          <w:rFonts w:hint="eastAsia" w:asciiTheme="minorEastAsia" w:hAnsiTheme="minorEastAsia" w:eastAsiaTheme="minorEastAsia"/>
          <w:sz w:val="32"/>
          <w:szCs w:val="32"/>
        </w:rPr>
        <w:t xml:space="preserve"> </w:t>
      </w:r>
    </w:p>
    <w:p>
      <w:pPr>
        <w:pStyle w:val="12"/>
        <w:rPr>
          <w:rFonts w:hAnsi="黑体"/>
          <w:b/>
          <w:sz w:val="32"/>
          <w:szCs w:val="32"/>
        </w:rPr>
      </w:pPr>
      <w:r>
        <w:rPr>
          <w:rFonts w:hint="eastAsia" w:hAnsi="黑体"/>
          <w:b/>
          <w:sz w:val="32"/>
          <w:szCs w:val="32"/>
        </w:rPr>
        <w:t>九、机关运行经费支出说明</w:t>
      </w:r>
    </w:p>
    <w:p>
      <w:pPr>
        <w:pStyle w:val="12"/>
        <w:ind w:firstLine="640" w:firstLineChars="200"/>
        <w:rPr>
          <w:rFonts w:hint="eastAsia" w:asciiTheme="minorEastAsia" w:hAnsiTheme="minorEastAsia" w:eastAsiaTheme="minorEastAsia"/>
          <w:sz w:val="32"/>
          <w:szCs w:val="32"/>
        </w:rPr>
      </w:pPr>
      <w:r>
        <w:rPr>
          <w:rFonts w:hint="eastAsia" w:ascii="宋体" w:hAnsi="宋体" w:cs="黑体"/>
          <w:color w:val="000000"/>
          <w:kern w:val="0"/>
          <w:sz w:val="32"/>
          <w:szCs w:val="32"/>
        </w:rPr>
        <w:t>我单位为财政拨款事业单位，本年度无机关运行经费支出。</w:t>
      </w:r>
    </w:p>
    <w:p>
      <w:pPr>
        <w:pStyle w:val="12"/>
        <w:rPr>
          <w:rFonts w:hAnsi="黑体"/>
          <w:b/>
          <w:sz w:val="32"/>
          <w:szCs w:val="32"/>
        </w:rPr>
      </w:pPr>
      <w:r>
        <w:rPr>
          <w:rFonts w:hint="eastAsia" w:hAnsi="黑体"/>
          <w:b/>
          <w:sz w:val="32"/>
          <w:szCs w:val="32"/>
        </w:rPr>
        <w:t>十、一般性支出情况说明</w:t>
      </w:r>
    </w:p>
    <w:p>
      <w:pPr>
        <w:pStyle w:val="12"/>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年本部门开支会议费</w:t>
      </w:r>
      <w:r>
        <w:rPr>
          <w:rFonts w:hint="eastAsia" w:asciiTheme="minorEastAsia" w:hAnsiTheme="minorEastAsia" w:eastAsiaTheme="minorEastAsia"/>
          <w:sz w:val="32"/>
          <w:szCs w:val="32"/>
          <w:lang w:val="en-US" w:eastAsia="zh-CN"/>
        </w:rPr>
        <w:t>0.66</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，用于举办湘南起义将帅诞辰百</w:t>
      </w:r>
      <w:r>
        <w:rPr>
          <w:rFonts w:hint="eastAsia" w:asciiTheme="minorEastAsia" w:hAnsiTheme="minorEastAsia" w:eastAsiaTheme="minorEastAsia"/>
          <w:sz w:val="32"/>
          <w:szCs w:val="32"/>
          <w:lang w:val="en-US" w:eastAsia="zh-CN"/>
        </w:rPr>
        <w:t>年座谈会，会议预算2万元，参会人数66余人，实际支出0.66万元，内容为纪念“开国上将邓华诞辰110周年和朱良才诞辰120周年”活动座谈会</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0.53</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用于开展业务工作培训等，内容为：一是</w:t>
      </w:r>
      <w:r>
        <w:rPr>
          <w:rFonts w:hint="eastAsia" w:asciiTheme="minorEastAsia" w:hAnsiTheme="minorEastAsia" w:eastAsiaTheme="minorEastAsia"/>
          <w:sz w:val="32"/>
          <w:szCs w:val="32"/>
        </w:rPr>
        <w:t>开展</w:t>
      </w:r>
      <w:r>
        <w:rPr>
          <w:rFonts w:hint="eastAsia" w:asciiTheme="minorEastAsia" w:hAnsiTheme="minorEastAsia" w:eastAsiaTheme="minorEastAsia"/>
          <w:sz w:val="32"/>
          <w:szCs w:val="32"/>
          <w:lang w:eastAsia="zh-CN"/>
        </w:rPr>
        <w:t>全市</w:t>
      </w:r>
      <w:r>
        <w:rPr>
          <w:rFonts w:hint="eastAsia" w:cs="黑体"/>
          <w:color w:val="000000"/>
          <w:sz w:val="32"/>
          <w:szCs w:val="32"/>
          <w:lang w:val="en-US" w:eastAsia="zh-CN"/>
        </w:rPr>
        <w:t>事业单位工作人员网课培训，预算0.5万元</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val="en-US" w:eastAsia="zh-CN"/>
        </w:rPr>
        <w:t>18</w:t>
      </w:r>
      <w:r>
        <w:rPr>
          <w:rFonts w:hint="eastAsia" w:asciiTheme="minorEastAsia" w:hAnsiTheme="minorEastAsia" w:eastAsiaTheme="minorEastAsia"/>
          <w:sz w:val="32"/>
          <w:szCs w:val="32"/>
        </w:rPr>
        <w:t>人</w:t>
      </w:r>
      <w:r>
        <w:rPr>
          <w:rFonts w:hint="eastAsia" w:asciiTheme="minorEastAsia" w:hAnsiTheme="minorEastAsia" w:eastAsiaTheme="minorEastAsia"/>
          <w:sz w:val="32"/>
          <w:szCs w:val="32"/>
          <w:lang w:eastAsia="zh-CN"/>
        </w:rPr>
        <w:t>，实际支出</w:t>
      </w:r>
      <w:r>
        <w:rPr>
          <w:rFonts w:hint="eastAsia" w:asciiTheme="minorEastAsia" w:hAnsiTheme="minorEastAsia" w:eastAsiaTheme="minorEastAsia"/>
          <w:sz w:val="32"/>
          <w:szCs w:val="32"/>
          <w:lang w:val="en-US" w:eastAsia="zh-CN"/>
        </w:rPr>
        <w:t>0.5万元；</w:t>
      </w:r>
      <w:r>
        <w:rPr>
          <w:rFonts w:hint="eastAsia" w:asciiTheme="minorEastAsia" w:hAnsiTheme="minorEastAsia" w:eastAsiaTheme="minorEastAsia"/>
          <w:sz w:val="32"/>
          <w:szCs w:val="32"/>
          <w:lang w:eastAsia="zh-CN"/>
        </w:rPr>
        <w:t>二是</w:t>
      </w:r>
      <w:r>
        <w:rPr>
          <w:rFonts w:hint="eastAsia" w:asciiTheme="minorEastAsia" w:hAnsiTheme="minorEastAsia" w:eastAsiaTheme="minorEastAsia"/>
          <w:sz w:val="32"/>
          <w:szCs w:val="32"/>
          <w:lang w:val="en-US" w:eastAsia="zh-CN"/>
        </w:rPr>
        <w:t>2021年专技人员继续教育培训，预算0.03万元，人数6人，实际支出0.03万元。</w:t>
      </w:r>
    </w:p>
    <w:p>
      <w:pPr>
        <w:pStyle w:val="12"/>
        <w:rPr>
          <w:rFonts w:hAnsi="黑体"/>
          <w:b/>
          <w:sz w:val="32"/>
          <w:szCs w:val="32"/>
        </w:rPr>
      </w:pPr>
      <w:r>
        <w:rPr>
          <w:rFonts w:hint="eastAsia" w:hAnsi="黑体"/>
          <w:b/>
          <w:sz w:val="32"/>
          <w:szCs w:val="32"/>
        </w:rPr>
        <w:t>十一、政府采购支出说明</w:t>
      </w:r>
    </w:p>
    <w:p>
      <w:pPr>
        <w:pStyle w:val="12"/>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2"/>
        <w:rPr>
          <w:rFonts w:hAnsi="黑体"/>
          <w:b/>
          <w:sz w:val="32"/>
          <w:szCs w:val="32"/>
        </w:rPr>
      </w:pPr>
      <w:r>
        <w:rPr>
          <w:rFonts w:hint="eastAsia" w:hAnsi="黑体"/>
          <w:b/>
          <w:sz w:val="32"/>
          <w:szCs w:val="32"/>
        </w:rPr>
        <w:t>十二、国有资产占用情况说明</w:t>
      </w:r>
    </w:p>
    <w:p>
      <w:pPr>
        <w:pStyle w:val="12"/>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截至20</w:t>
      </w:r>
      <w:r>
        <w:rPr>
          <w:rFonts w:hint="eastAsia" w:asciiTheme="minorEastAsia" w:hAnsiTheme="minorEastAsia" w:eastAsiaTheme="minorEastAsia"/>
          <w:sz w:val="32"/>
          <w:szCs w:val="32"/>
          <w:lang w:val="en-US" w:eastAsia="zh-CN"/>
        </w:rPr>
        <w:t>21</w:t>
      </w:r>
      <w:r>
        <w:rPr>
          <w:rFonts w:hint="eastAsia" w:asciiTheme="minorEastAsia" w:hAnsiTheme="minorEastAsia" w:eastAsiaTheme="minorEastAsia"/>
          <w:sz w:val="32"/>
          <w:szCs w:val="32"/>
        </w:rPr>
        <w:t>年12月31日，本单位共有车辆</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辆，其中，特种专业技术用车森林防火抗旱专用洒水车1辆、其他用车</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辆，其他用车主要是生产用皮卡车</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辆</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其中1辆</w:t>
      </w:r>
      <w:r>
        <w:rPr>
          <w:rFonts w:hint="eastAsia" w:asciiTheme="minorEastAsia" w:hAnsiTheme="minorEastAsia" w:eastAsiaTheme="minorEastAsia"/>
          <w:sz w:val="32"/>
          <w:szCs w:val="32"/>
          <w:lang w:eastAsia="zh-CN"/>
        </w:rPr>
        <w:t>已报废正在办理处置手续</w:t>
      </w:r>
      <w:r>
        <w:rPr>
          <w:rFonts w:hint="eastAsia" w:asciiTheme="minorEastAsia" w:hAnsiTheme="minorEastAsia" w:eastAsiaTheme="minorEastAsia"/>
          <w:sz w:val="32"/>
          <w:szCs w:val="32"/>
        </w:rPr>
        <w:t>。单位价值50万元以上通用设备0台（套），单位价值100万元以上专用设备0台（套）</w:t>
      </w:r>
      <w:r>
        <w:rPr>
          <w:rFonts w:hint="eastAsia" w:ascii="宋体" w:hAnsi="宋体" w:cs="黑体"/>
          <w:color w:val="000000"/>
          <w:kern w:val="0"/>
          <w:sz w:val="32"/>
          <w:szCs w:val="32"/>
        </w:rPr>
        <w:t>。</w:t>
      </w:r>
    </w:p>
    <w:p>
      <w:pPr>
        <w:pStyle w:val="12"/>
        <w:ind w:firstLine="640" w:firstLineChars="200"/>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b/>
          <w:color w:val="000000"/>
          <w:kern w:val="0"/>
          <w:sz w:val="32"/>
          <w:szCs w:val="32"/>
        </w:rPr>
        <w:t>（1）绩效管理评价工作开展情况</w:t>
      </w:r>
      <w:r>
        <w:rPr>
          <w:rFonts w:hint="eastAsia" w:ascii="宋体" w:hAnsi="宋体" w:cs="黑体"/>
          <w:color w:val="000000"/>
          <w:kern w:val="0"/>
          <w:sz w:val="32"/>
          <w:szCs w:val="32"/>
        </w:rPr>
        <w:t>。</w:t>
      </w:r>
    </w:p>
    <w:p>
      <w:pPr>
        <w:autoSpaceDE w:val="0"/>
        <w:autoSpaceDN w:val="0"/>
        <w:adjustRightInd w:val="0"/>
        <w:ind w:firstLine="640" w:firstLineChars="200"/>
        <w:jc w:val="left"/>
        <w:rPr>
          <w:rFonts w:hint="eastAsia" w:ascii="宋体" w:hAnsi="宋体" w:cs="黑体"/>
          <w:color w:val="auto"/>
          <w:kern w:val="0"/>
          <w:sz w:val="32"/>
          <w:szCs w:val="32"/>
        </w:rPr>
      </w:pPr>
      <w:r>
        <w:rPr>
          <w:rFonts w:hint="eastAsia" w:ascii="宋体" w:hAnsi="宋体" w:cs="黑体"/>
          <w:color w:val="auto"/>
          <w:kern w:val="0"/>
          <w:sz w:val="32"/>
          <w:szCs w:val="32"/>
        </w:rPr>
        <w:t>根据预算绩效管理要求，我部门组织对</w:t>
      </w:r>
      <w:r>
        <w:rPr>
          <w:rFonts w:ascii="宋体" w:hAnsi="宋体" w:cs="黑体"/>
          <w:color w:val="auto"/>
          <w:kern w:val="0"/>
          <w:sz w:val="32"/>
          <w:szCs w:val="32"/>
        </w:rPr>
        <w:t>2021</w:t>
      </w:r>
      <w:r>
        <w:rPr>
          <w:rFonts w:hint="eastAsia" w:ascii="宋体" w:hAnsi="宋体" w:cs="黑体"/>
          <w:color w:val="auto"/>
          <w:kern w:val="0"/>
          <w:sz w:val="32"/>
          <w:szCs w:val="32"/>
        </w:rPr>
        <w:t>年度一般公共预算项目支出全面开展绩效自评，</w:t>
      </w:r>
      <w:r>
        <w:rPr>
          <w:rFonts w:hint="eastAsia" w:ascii="宋体" w:hAnsi="宋体" w:cs="黑体"/>
          <w:color w:val="auto"/>
          <w:kern w:val="0"/>
          <w:sz w:val="32"/>
          <w:szCs w:val="32"/>
          <w:lang w:eastAsia="zh-CN"/>
        </w:rPr>
        <w:t>包括运行维护经费、建党</w:t>
      </w:r>
      <w:r>
        <w:rPr>
          <w:rFonts w:hint="eastAsia" w:ascii="宋体" w:hAnsi="宋体" w:cs="黑体"/>
          <w:color w:val="auto"/>
          <w:kern w:val="0"/>
          <w:sz w:val="32"/>
          <w:szCs w:val="32"/>
          <w:lang w:val="en-US" w:eastAsia="zh-CN"/>
        </w:rPr>
        <w:t>100周年活动项目、湘南起义纪念园提质改造与红色文化旅游标识标牌和智慧旅游建设工程、湘南起义旧址-郴县苏维埃政府（陈家大屋）修缮安防工程、湘南起义纪念馆消防布展及工程</w:t>
      </w:r>
      <w:r>
        <w:rPr>
          <w:rFonts w:hint="eastAsia" w:ascii="宋体" w:hAnsi="宋体" w:cs="黑体"/>
          <w:color w:val="auto"/>
          <w:kern w:val="0"/>
          <w:sz w:val="32"/>
          <w:szCs w:val="32"/>
          <w:lang w:val="en" w:eastAsia="zh-CN"/>
        </w:rPr>
        <w:t>等</w:t>
      </w:r>
      <w:r>
        <w:rPr>
          <w:rFonts w:hint="eastAsia" w:ascii="宋体" w:hAnsi="宋体" w:cs="黑体"/>
          <w:color w:val="auto"/>
          <w:kern w:val="0"/>
          <w:sz w:val="32"/>
          <w:szCs w:val="32"/>
          <w:lang w:val="en-US" w:eastAsia="zh-CN"/>
        </w:rPr>
        <w:t>5</w:t>
      </w:r>
      <w:r>
        <w:rPr>
          <w:rFonts w:hint="eastAsia" w:ascii="宋体" w:hAnsi="宋体" w:cs="黑体"/>
          <w:color w:val="auto"/>
          <w:kern w:val="0"/>
          <w:sz w:val="32"/>
          <w:szCs w:val="32"/>
        </w:rPr>
        <w:t>个</w:t>
      </w:r>
      <w:r>
        <w:rPr>
          <w:rFonts w:hint="eastAsia" w:ascii="宋体" w:hAnsi="宋体" w:cs="黑体"/>
          <w:color w:val="auto"/>
          <w:kern w:val="0"/>
          <w:sz w:val="32"/>
          <w:szCs w:val="32"/>
          <w:lang w:eastAsia="zh-CN"/>
        </w:rPr>
        <w:t>其他项目，我单位无市级重点项目</w:t>
      </w:r>
      <w:r>
        <w:rPr>
          <w:rFonts w:hint="eastAsia" w:ascii="宋体" w:hAnsi="宋体" w:cs="黑体"/>
          <w:color w:val="auto"/>
          <w:kern w:val="0"/>
          <w:sz w:val="32"/>
          <w:szCs w:val="32"/>
        </w:rPr>
        <w:t>，共涉及资金</w:t>
      </w:r>
      <w:r>
        <w:rPr>
          <w:rFonts w:hint="eastAsia" w:ascii="宋体" w:hAnsi="宋体" w:cs="黑体"/>
          <w:color w:val="auto"/>
          <w:kern w:val="0"/>
          <w:sz w:val="32"/>
          <w:szCs w:val="32"/>
          <w:lang w:val="en-US" w:eastAsia="zh-CN"/>
        </w:rPr>
        <w:t>988.45</w:t>
      </w:r>
      <w:r>
        <w:rPr>
          <w:rFonts w:hint="eastAsia" w:ascii="宋体" w:hAnsi="宋体" w:cs="黑体"/>
          <w:color w:val="auto"/>
          <w:kern w:val="0"/>
          <w:sz w:val="32"/>
          <w:szCs w:val="32"/>
        </w:rPr>
        <w:t>万元</w:t>
      </w:r>
      <w:r>
        <w:rPr>
          <w:rFonts w:hint="default" w:ascii="宋体" w:hAnsi="宋体" w:cs="黑体"/>
          <w:color w:val="auto"/>
          <w:kern w:val="0"/>
          <w:sz w:val="32"/>
          <w:szCs w:val="32"/>
          <w:lang w:val="en"/>
        </w:rPr>
        <w:t>,</w:t>
      </w:r>
      <w:r>
        <w:rPr>
          <w:rFonts w:hint="eastAsia" w:ascii="宋体" w:hAnsi="宋体" w:cs="黑体"/>
          <w:color w:val="auto"/>
          <w:kern w:val="0"/>
          <w:sz w:val="32"/>
          <w:szCs w:val="32"/>
        </w:rPr>
        <w:t>占一般公共预算项目支出总额的</w:t>
      </w:r>
      <w:r>
        <w:rPr>
          <w:rFonts w:hint="eastAsia" w:ascii="宋体" w:hAnsi="宋体" w:cs="黑体"/>
          <w:color w:val="auto"/>
          <w:kern w:val="0"/>
          <w:sz w:val="32"/>
          <w:szCs w:val="32"/>
          <w:lang w:val="en-US" w:eastAsia="zh-CN"/>
        </w:rPr>
        <w:t>100</w:t>
      </w:r>
      <w:r>
        <w:rPr>
          <w:rFonts w:ascii="宋体" w:hAnsi="宋体" w:cs="黑体"/>
          <w:color w:val="auto"/>
          <w:kern w:val="0"/>
          <w:sz w:val="32"/>
          <w:szCs w:val="32"/>
        </w:rPr>
        <w:t>%</w:t>
      </w:r>
      <w:r>
        <w:rPr>
          <w:rFonts w:hint="eastAsia" w:ascii="宋体" w:hAnsi="宋体" w:cs="黑体"/>
          <w:color w:val="auto"/>
          <w:kern w:val="0"/>
          <w:sz w:val="32"/>
          <w:szCs w:val="32"/>
        </w:rPr>
        <w:t>。</w:t>
      </w:r>
    </w:p>
    <w:p>
      <w:pPr>
        <w:autoSpaceDE w:val="0"/>
        <w:autoSpaceDN w:val="0"/>
        <w:adjustRightInd w:val="0"/>
        <w:ind w:firstLine="640" w:firstLineChars="200"/>
        <w:jc w:val="left"/>
        <w:rPr>
          <w:rFonts w:ascii="宋体" w:hAnsi="宋体" w:cs="黑体"/>
          <w:b/>
          <w:color w:val="000000"/>
          <w:kern w:val="0"/>
          <w:sz w:val="32"/>
          <w:szCs w:val="32"/>
        </w:rPr>
      </w:pPr>
      <w:r>
        <w:rPr>
          <w:rFonts w:hint="eastAsia" w:ascii="宋体" w:hAnsi="宋体" w:cs="黑体"/>
          <w:b/>
          <w:color w:val="000000"/>
          <w:kern w:val="0"/>
          <w:sz w:val="32"/>
          <w:szCs w:val="32"/>
        </w:rPr>
        <w:t>（2）项目绩效自评结果。</w:t>
      </w:r>
    </w:p>
    <w:p>
      <w:pPr>
        <w:autoSpaceDE w:val="0"/>
        <w:autoSpaceDN w:val="0"/>
        <w:adjustRightInd w:val="0"/>
        <w:ind w:firstLine="640" w:firstLineChars="200"/>
        <w:jc w:val="left"/>
        <w:rPr>
          <w:rFonts w:hint="eastAsia" w:ascii="宋体" w:hAnsi="宋体" w:cs="黑体"/>
          <w:color w:val="000000"/>
          <w:kern w:val="0"/>
          <w:sz w:val="32"/>
          <w:szCs w:val="32"/>
          <w:lang w:eastAsia="zh-CN"/>
        </w:rPr>
      </w:pPr>
      <w:r>
        <w:rPr>
          <w:rFonts w:hint="eastAsia" w:ascii="宋体" w:hAnsi="宋体" w:cs="黑体"/>
          <w:color w:val="000000"/>
          <w:kern w:val="0"/>
          <w:sz w:val="32"/>
          <w:szCs w:val="32"/>
          <w:lang w:val="en" w:eastAsia="zh-CN"/>
        </w:rPr>
        <w:t>①</w:t>
      </w:r>
      <w:r>
        <w:rPr>
          <w:rFonts w:hint="eastAsia" w:ascii="宋体" w:hAnsi="宋体" w:cs="黑体"/>
          <w:color w:val="000000"/>
          <w:kern w:val="0"/>
          <w:sz w:val="32"/>
          <w:szCs w:val="32"/>
          <w:lang w:eastAsia="zh-CN"/>
        </w:rPr>
        <w:t>市级重点项目。</w:t>
      </w:r>
    </w:p>
    <w:p>
      <w:pPr>
        <w:autoSpaceDE w:val="0"/>
        <w:autoSpaceDN w:val="0"/>
        <w:adjustRightInd w:val="0"/>
        <w:ind w:firstLine="640" w:firstLineChars="200"/>
        <w:jc w:val="left"/>
        <w:rPr>
          <w:rFonts w:hint="eastAsia" w:ascii="宋体" w:hAnsi="宋体" w:cs="黑体"/>
          <w:color w:val="000000"/>
          <w:kern w:val="0"/>
          <w:sz w:val="32"/>
          <w:szCs w:val="32"/>
          <w:lang w:eastAsia="zh-CN"/>
        </w:rPr>
      </w:pPr>
      <w:r>
        <w:rPr>
          <w:rFonts w:hint="eastAsia" w:ascii="宋体" w:hAnsi="宋体" w:cs="黑体"/>
          <w:color w:val="000000"/>
          <w:kern w:val="0"/>
          <w:sz w:val="32"/>
          <w:szCs w:val="32"/>
          <w:lang w:eastAsia="zh-CN"/>
        </w:rPr>
        <w:t>本单位无市级重点项目</w:t>
      </w:r>
    </w:p>
    <w:p>
      <w:pPr>
        <w:autoSpaceDE w:val="0"/>
        <w:autoSpaceDN w:val="0"/>
        <w:adjustRightInd w:val="0"/>
        <w:ind w:firstLine="640" w:firstLineChars="200"/>
        <w:jc w:val="left"/>
        <w:rPr>
          <w:rFonts w:hint="eastAsia" w:ascii="宋体" w:hAnsi="宋体" w:cs="黑体"/>
          <w:color w:val="000000"/>
          <w:kern w:val="0"/>
          <w:sz w:val="32"/>
          <w:szCs w:val="32"/>
          <w:lang w:eastAsia="zh-CN"/>
        </w:rPr>
      </w:pPr>
      <w:r>
        <w:rPr>
          <w:rFonts w:hint="eastAsia" w:ascii="宋体" w:hAnsi="宋体" w:cs="黑体"/>
          <w:color w:val="000000"/>
          <w:kern w:val="0"/>
          <w:sz w:val="32"/>
          <w:szCs w:val="32"/>
          <w:lang w:eastAsia="zh-CN"/>
        </w:rPr>
        <w:t>②其他项目（业务工作经费、运行维护经费等）。</w:t>
      </w:r>
    </w:p>
    <w:p>
      <w:pPr>
        <w:ind w:firstLine="640" w:firstLineChars="200"/>
        <w:rPr>
          <w:rFonts w:hint="eastAsia" w:ascii="宋体" w:hAnsi="宋体" w:eastAsia="宋体" w:cs="宋体"/>
          <w:sz w:val="32"/>
          <w:szCs w:val="32"/>
          <w:highlight w:val="none"/>
        </w:rPr>
      </w:pPr>
      <w:r>
        <w:rPr>
          <w:rFonts w:hint="eastAsia" w:ascii="宋体" w:hAnsi="宋体" w:cs="黑体"/>
          <w:color w:val="auto"/>
          <w:kern w:val="0"/>
          <w:sz w:val="32"/>
          <w:szCs w:val="32"/>
          <w:lang w:eastAsia="zh-CN"/>
        </w:rPr>
        <w:t>运行维护经费</w:t>
      </w:r>
      <w:r>
        <w:rPr>
          <w:rFonts w:hint="eastAsia" w:ascii="宋体" w:hAnsi="宋体" w:cs="黑体"/>
          <w:color w:val="auto"/>
          <w:kern w:val="0"/>
          <w:sz w:val="32"/>
          <w:szCs w:val="32"/>
        </w:rPr>
        <w:t>项目绩效自评综述：根据年初设定的绩效目标，项目绩效自评得分为</w:t>
      </w:r>
      <w:r>
        <w:rPr>
          <w:rFonts w:hint="eastAsia" w:ascii="宋体" w:hAnsi="宋体" w:cs="黑体"/>
          <w:color w:val="auto"/>
          <w:kern w:val="0"/>
          <w:sz w:val="32"/>
          <w:szCs w:val="32"/>
          <w:lang w:val="en-US" w:eastAsia="zh-CN"/>
        </w:rPr>
        <w:t>95</w:t>
      </w:r>
      <w:r>
        <w:rPr>
          <w:rFonts w:hint="eastAsia" w:ascii="宋体" w:hAnsi="宋体" w:cs="黑体"/>
          <w:color w:val="auto"/>
          <w:kern w:val="0"/>
          <w:sz w:val="32"/>
          <w:szCs w:val="32"/>
        </w:rPr>
        <w:t>分。项目全年预算数为</w:t>
      </w:r>
      <w:r>
        <w:rPr>
          <w:rFonts w:hint="eastAsia" w:ascii="宋体" w:hAnsi="宋体" w:cs="黑体"/>
          <w:color w:val="auto"/>
          <w:kern w:val="0"/>
          <w:sz w:val="32"/>
          <w:szCs w:val="32"/>
          <w:lang w:val="en-US" w:eastAsia="zh-CN"/>
        </w:rPr>
        <w:t>626.21</w:t>
      </w:r>
      <w:r>
        <w:rPr>
          <w:rFonts w:hint="eastAsia" w:ascii="宋体" w:hAnsi="宋体" w:cs="黑体"/>
          <w:color w:val="auto"/>
          <w:kern w:val="0"/>
          <w:sz w:val="32"/>
          <w:szCs w:val="32"/>
        </w:rPr>
        <w:t>万元，执行数为</w:t>
      </w:r>
      <w:r>
        <w:rPr>
          <w:rFonts w:hint="eastAsia" w:ascii="宋体" w:hAnsi="宋体" w:cs="黑体"/>
          <w:color w:val="auto"/>
          <w:kern w:val="0"/>
          <w:sz w:val="32"/>
          <w:szCs w:val="32"/>
          <w:lang w:val="en-US" w:eastAsia="zh-CN"/>
        </w:rPr>
        <w:t>603.56</w:t>
      </w:r>
      <w:r>
        <w:rPr>
          <w:rFonts w:hint="eastAsia" w:ascii="宋体" w:hAnsi="宋体" w:cs="黑体"/>
          <w:color w:val="auto"/>
          <w:kern w:val="0"/>
          <w:sz w:val="32"/>
          <w:szCs w:val="32"/>
        </w:rPr>
        <w:t>万元，完成预算的</w:t>
      </w:r>
      <w:r>
        <w:rPr>
          <w:rFonts w:hint="eastAsia" w:ascii="宋体" w:hAnsi="宋体" w:cs="黑体"/>
          <w:color w:val="auto"/>
          <w:kern w:val="0"/>
          <w:sz w:val="32"/>
          <w:szCs w:val="32"/>
          <w:lang w:val="en-US" w:eastAsia="zh-CN"/>
        </w:rPr>
        <w:t>96.38</w:t>
      </w:r>
      <w:r>
        <w:rPr>
          <w:rFonts w:ascii="宋体" w:hAnsi="宋体" w:cs="黑体"/>
          <w:color w:val="auto"/>
          <w:kern w:val="0"/>
          <w:sz w:val="32"/>
          <w:szCs w:val="32"/>
        </w:rPr>
        <w:t>%</w:t>
      </w:r>
      <w:r>
        <w:rPr>
          <w:rFonts w:hint="eastAsia" w:ascii="宋体" w:hAnsi="宋体" w:cs="黑体"/>
          <w:color w:val="auto"/>
          <w:kern w:val="0"/>
          <w:sz w:val="32"/>
          <w:szCs w:val="32"/>
        </w:rPr>
        <w:t>。项目绩效目标完成情况：</w:t>
      </w:r>
      <w:r>
        <w:rPr>
          <w:rFonts w:hint="eastAsia" w:ascii="宋体" w:hAnsi="宋体" w:eastAsia="宋体" w:cs="宋体"/>
          <w:color w:val="auto"/>
          <w:kern w:val="0"/>
          <w:sz w:val="32"/>
          <w:szCs w:val="32"/>
        </w:rPr>
        <w:t>一是</w:t>
      </w:r>
      <w:r>
        <w:rPr>
          <w:rFonts w:hint="eastAsia" w:ascii="宋体" w:hAnsi="宋体" w:eastAsia="宋体" w:cs="宋体"/>
          <w:sz w:val="32"/>
          <w:szCs w:val="32"/>
        </w:rPr>
        <w:t>按照专题公园管护标准对园区各项设施进行有效管理，包括塔</w:t>
      </w:r>
      <w:r>
        <w:rPr>
          <w:rFonts w:hint="eastAsia" w:ascii="宋体" w:hAnsi="宋体" w:eastAsia="宋体" w:cs="宋体"/>
          <w:sz w:val="32"/>
          <w:szCs w:val="32"/>
          <w:highlight w:val="none"/>
        </w:rPr>
        <w:t>、碑、亭、长廊、踏步、游道、道路、路灯、广场、公厕等基础设施和纪念设施维护，森林防火、园林绿化管护、安保、卫生保洁等运维支出；全年新增绿化面积5200㎡，完成夏明震烈士纪念碑周边环境整治并恢复周边绿化工作，使园区面貌焕然一新。</w:t>
      </w:r>
    </w:p>
    <w:p>
      <w:pPr>
        <w:rPr>
          <w:rFonts w:hint="eastAsia" w:ascii="宋体" w:hAnsi="宋体" w:eastAsia="宋体" w:cs="宋体"/>
          <w:color w:val="auto"/>
          <w:kern w:val="0"/>
          <w:sz w:val="32"/>
          <w:szCs w:val="32"/>
        </w:rPr>
      </w:pPr>
      <w:r>
        <w:rPr>
          <w:rFonts w:hint="eastAsia" w:ascii="宋体" w:hAnsi="宋体" w:eastAsia="宋体" w:cs="宋体"/>
          <w:color w:val="auto"/>
          <w:kern w:val="0"/>
          <w:sz w:val="32"/>
          <w:szCs w:val="32"/>
        </w:rPr>
        <w:t>；二是</w:t>
      </w:r>
      <w:r>
        <w:rPr>
          <w:rFonts w:hint="eastAsia" w:ascii="宋体" w:hAnsi="宋体" w:eastAsia="宋体" w:cs="宋体"/>
          <w:sz w:val="32"/>
          <w:szCs w:val="32"/>
          <w:highlight w:val="none"/>
        </w:rPr>
        <w:t>按照免费开馆要求，有效保障纪念馆、党史陈列馆及郴县苏维埃政府旧址（陈家大屋）馆内设施正常运行，按时支付旧址私房部分租赁费和税金以及场馆临聘讲解、安保人员工资、社保缴费</w:t>
      </w:r>
      <w:r>
        <w:rPr>
          <w:rFonts w:hint="eastAsia" w:ascii="宋体" w:hAnsi="宋体" w:eastAsia="宋体" w:cs="宋体"/>
          <w:color w:val="auto"/>
          <w:kern w:val="0"/>
          <w:sz w:val="32"/>
          <w:szCs w:val="32"/>
        </w:rPr>
        <w:t>。</w:t>
      </w:r>
      <w:r>
        <w:rPr>
          <w:rFonts w:hint="eastAsia" w:ascii="宋体" w:hAnsi="宋体" w:eastAsia="宋体" w:cs="宋体"/>
          <w:color w:val="auto"/>
          <w:kern w:val="0"/>
          <w:sz w:val="32"/>
          <w:szCs w:val="32"/>
          <w:lang w:eastAsia="zh-CN"/>
        </w:rPr>
        <w:t>三是；</w:t>
      </w:r>
      <w:r>
        <w:rPr>
          <w:rFonts w:hint="eastAsia" w:ascii="宋体" w:hAnsi="宋体" w:eastAsia="宋体" w:cs="宋体"/>
          <w:sz w:val="32"/>
          <w:szCs w:val="32"/>
          <w:highlight w:val="none"/>
        </w:rPr>
        <w:t>广泛开展对外宣传，展示爱教基地公共文化服务职能，全年共接待团队游客700余批次，开展各种红色文化传承教育活动百余场次，讲解1000余场次；如期举办清明.祭英烈及9.30国家公祭日活动，铭记英烈，让红色教育代代传承，带动红色旅游发展</w:t>
      </w:r>
      <w:r>
        <w:rPr>
          <w:rFonts w:hint="eastAsia" w:ascii="宋体" w:hAnsi="宋体" w:eastAsia="宋体" w:cs="宋体"/>
          <w:color w:val="auto"/>
          <w:kern w:val="0"/>
          <w:sz w:val="32"/>
          <w:szCs w:val="32"/>
          <w:lang w:eastAsia="zh-CN"/>
        </w:rPr>
        <w:t>。</w:t>
      </w:r>
      <w:r>
        <w:rPr>
          <w:rFonts w:hint="eastAsia" w:ascii="宋体" w:hAnsi="宋体" w:cs="黑体"/>
          <w:color w:val="auto"/>
          <w:kern w:val="0"/>
          <w:sz w:val="32"/>
          <w:szCs w:val="32"/>
        </w:rPr>
        <w:t>发现的主要问题及原因：一是</w:t>
      </w:r>
      <w:r>
        <w:rPr>
          <w:rFonts w:hint="eastAsia" w:ascii="宋体" w:hAnsi="宋体" w:cs="黑体"/>
          <w:color w:val="auto"/>
          <w:kern w:val="0"/>
          <w:sz w:val="32"/>
          <w:szCs w:val="32"/>
          <w:lang w:eastAsia="zh-CN"/>
        </w:rPr>
        <w:t>由于疫情影响，游客接待人数比往年下降</w:t>
      </w:r>
      <w:r>
        <w:rPr>
          <w:rFonts w:hint="eastAsia" w:ascii="宋体" w:hAnsi="宋体" w:cs="黑体"/>
          <w:color w:val="auto"/>
          <w:kern w:val="0"/>
          <w:sz w:val="32"/>
          <w:szCs w:val="32"/>
        </w:rPr>
        <w:t>。下一步改进措施：</w:t>
      </w:r>
      <w:r>
        <w:rPr>
          <w:rFonts w:hint="eastAsia" w:ascii="宋体" w:hAnsi="宋体" w:eastAsia="宋体" w:cs="宋体"/>
          <w:color w:val="auto"/>
          <w:kern w:val="0"/>
          <w:sz w:val="32"/>
          <w:szCs w:val="32"/>
        </w:rPr>
        <w:t>一是</w:t>
      </w:r>
      <w:r>
        <w:rPr>
          <w:rFonts w:hint="eastAsia" w:ascii="宋体" w:hAnsi="宋体" w:eastAsia="宋体" w:cs="宋体"/>
          <w:sz w:val="32"/>
          <w:szCs w:val="32"/>
        </w:rPr>
        <w:t>在做好疫情防控的前提下，进一步提高服务质量，更好为广大市民游客提供服务，带动我市红色旅游发展。</w:t>
      </w:r>
    </w:p>
    <w:p>
      <w:pPr>
        <w:autoSpaceDE w:val="0"/>
        <w:autoSpaceDN w:val="0"/>
        <w:adjustRightInd w:val="0"/>
        <w:ind w:firstLine="640" w:firstLineChars="200"/>
        <w:jc w:val="left"/>
        <w:rPr>
          <w:rFonts w:hint="eastAsia" w:ascii="宋体" w:hAnsi="宋体" w:eastAsia="宋体" w:cs="宋体"/>
          <w:color w:val="000000"/>
          <w:kern w:val="0"/>
          <w:sz w:val="32"/>
          <w:szCs w:val="32"/>
        </w:rPr>
      </w:pPr>
      <w:r>
        <w:rPr>
          <w:rFonts w:hint="eastAsia" w:ascii="宋体" w:hAnsi="宋体" w:cs="黑体"/>
          <w:color w:val="auto"/>
          <w:kern w:val="0"/>
          <w:sz w:val="32"/>
          <w:szCs w:val="32"/>
          <w:lang w:eastAsia="zh-CN"/>
        </w:rPr>
        <w:t>庆祝建党</w:t>
      </w:r>
      <w:r>
        <w:rPr>
          <w:rFonts w:hint="eastAsia" w:ascii="宋体" w:hAnsi="宋体" w:cs="黑体"/>
          <w:color w:val="auto"/>
          <w:kern w:val="0"/>
          <w:sz w:val="32"/>
          <w:szCs w:val="32"/>
          <w:lang w:val="en-US" w:eastAsia="zh-CN"/>
        </w:rPr>
        <w:t>100周年活动</w:t>
      </w:r>
      <w:r>
        <w:rPr>
          <w:rFonts w:hint="eastAsia" w:ascii="宋体" w:hAnsi="宋体" w:cs="黑体"/>
          <w:color w:val="000000"/>
          <w:kern w:val="0"/>
          <w:sz w:val="32"/>
          <w:szCs w:val="32"/>
        </w:rPr>
        <w:t>项目绩效自评综述：根据年初设定的绩效目标，项目绩效自评得分为</w:t>
      </w:r>
      <w:r>
        <w:rPr>
          <w:rFonts w:hint="eastAsia" w:ascii="宋体" w:hAnsi="宋体" w:cs="黑体"/>
          <w:color w:val="000000"/>
          <w:kern w:val="0"/>
          <w:sz w:val="32"/>
          <w:szCs w:val="32"/>
          <w:lang w:val="en-US" w:eastAsia="zh-CN"/>
        </w:rPr>
        <w:t>95</w:t>
      </w:r>
      <w:r>
        <w:rPr>
          <w:rFonts w:hint="eastAsia" w:ascii="宋体" w:hAnsi="宋体" w:cs="黑体"/>
          <w:color w:val="000000"/>
          <w:kern w:val="0"/>
          <w:sz w:val="32"/>
          <w:szCs w:val="32"/>
        </w:rPr>
        <w:t>分。项目全年预算数为</w:t>
      </w:r>
      <w:r>
        <w:rPr>
          <w:rFonts w:hint="eastAsia" w:ascii="宋体" w:hAnsi="宋体" w:cs="黑体"/>
          <w:color w:val="000000"/>
          <w:kern w:val="0"/>
          <w:sz w:val="32"/>
          <w:szCs w:val="32"/>
          <w:lang w:val="en-US" w:eastAsia="zh-CN"/>
        </w:rPr>
        <w:t>73.69</w:t>
      </w:r>
      <w:r>
        <w:rPr>
          <w:rFonts w:ascii="宋体" w:hAnsi="宋体" w:cs="黑体"/>
          <w:color w:val="000000"/>
          <w:kern w:val="0"/>
          <w:sz w:val="32"/>
          <w:szCs w:val="32"/>
        </w:rPr>
        <w:t xml:space="preserve"> </w:t>
      </w:r>
      <w:r>
        <w:rPr>
          <w:rFonts w:hint="eastAsia" w:ascii="宋体" w:hAnsi="宋体" w:cs="黑体"/>
          <w:color w:val="000000"/>
          <w:kern w:val="0"/>
          <w:sz w:val="32"/>
          <w:szCs w:val="32"/>
        </w:rPr>
        <w:t>万元，执行数为</w:t>
      </w:r>
      <w:r>
        <w:rPr>
          <w:rFonts w:hint="eastAsia" w:ascii="宋体" w:hAnsi="宋体" w:cs="黑体"/>
          <w:color w:val="000000"/>
          <w:kern w:val="0"/>
          <w:sz w:val="32"/>
          <w:szCs w:val="32"/>
          <w:lang w:val="en-US" w:eastAsia="zh-CN"/>
        </w:rPr>
        <w:t>73.69</w:t>
      </w:r>
      <w:r>
        <w:rPr>
          <w:rFonts w:hint="eastAsia" w:ascii="宋体" w:hAnsi="宋体" w:cs="黑体"/>
          <w:color w:val="000000"/>
          <w:kern w:val="0"/>
          <w:sz w:val="32"/>
          <w:szCs w:val="32"/>
        </w:rPr>
        <w:t>万元，完成预算的</w:t>
      </w:r>
      <w:r>
        <w:rPr>
          <w:rFonts w:hint="eastAsia" w:ascii="宋体" w:hAnsi="宋体" w:cs="黑体"/>
          <w:color w:val="000000"/>
          <w:kern w:val="0"/>
          <w:sz w:val="32"/>
          <w:szCs w:val="32"/>
          <w:lang w:val="en-US" w:eastAsia="zh-CN"/>
        </w:rPr>
        <w:t>100</w:t>
      </w:r>
      <w:r>
        <w:rPr>
          <w:rFonts w:ascii="宋体" w:hAnsi="宋体" w:cs="黑体"/>
          <w:color w:val="000000"/>
          <w:kern w:val="0"/>
          <w:sz w:val="32"/>
          <w:szCs w:val="32"/>
        </w:rPr>
        <w:t>%</w:t>
      </w:r>
      <w:r>
        <w:rPr>
          <w:rFonts w:hint="eastAsia" w:ascii="宋体" w:hAnsi="宋体" w:cs="黑体"/>
          <w:color w:val="000000"/>
          <w:kern w:val="0"/>
          <w:sz w:val="32"/>
          <w:szCs w:val="32"/>
        </w:rPr>
        <w:t>。项目绩效目标完成情况：一</w:t>
      </w:r>
      <w:r>
        <w:rPr>
          <w:rFonts w:hint="eastAsia" w:ascii="宋体" w:hAnsi="宋体" w:eastAsia="宋体" w:cs="宋体"/>
          <w:color w:val="000000"/>
          <w:kern w:val="0"/>
          <w:sz w:val="32"/>
          <w:szCs w:val="32"/>
        </w:rPr>
        <w:t>是</w:t>
      </w:r>
      <w:r>
        <w:rPr>
          <w:rFonts w:hint="eastAsia" w:ascii="宋体" w:hAnsi="宋体" w:eastAsia="宋体" w:cs="宋体"/>
          <w:color w:val="000000"/>
          <w:sz w:val="32"/>
          <w:szCs w:val="32"/>
        </w:rPr>
        <w:t>建党100周年大型文艺演出活动</w:t>
      </w:r>
      <w:r>
        <w:rPr>
          <w:rFonts w:hint="eastAsia" w:ascii="宋体" w:hAnsi="宋体" w:eastAsia="宋体" w:cs="宋体"/>
          <w:color w:val="000000"/>
          <w:kern w:val="0"/>
          <w:sz w:val="32"/>
          <w:szCs w:val="32"/>
        </w:rPr>
        <w:t>；二是</w:t>
      </w:r>
      <w:r>
        <w:rPr>
          <w:rFonts w:hint="eastAsia" w:ascii="宋体" w:hAnsi="宋体" w:eastAsia="宋体" w:cs="宋体"/>
          <w:color w:val="000000"/>
          <w:sz w:val="32"/>
          <w:szCs w:val="32"/>
        </w:rPr>
        <w:t>纪念馆展厅建党100周年陈列布展</w:t>
      </w:r>
      <w:r>
        <w:rPr>
          <w:rFonts w:hint="eastAsia" w:ascii="宋体" w:hAnsi="宋体" w:eastAsia="宋体" w:cs="宋体"/>
          <w:color w:val="000000"/>
          <w:kern w:val="0"/>
          <w:sz w:val="32"/>
          <w:szCs w:val="32"/>
        </w:rPr>
        <w:t>。</w:t>
      </w:r>
      <w:r>
        <w:rPr>
          <w:rFonts w:hint="eastAsia" w:ascii="宋体" w:hAnsi="宋体" w:eastAsia="宋体" w:cs="宋体"/>
          <w:color w:val="000000"/>
          <w:kern w:val="0"/>
          <w:sz w:val="32"/>
          <w:szCs w:val="32"/>
          <w:lang w:eastAsia="zh-CN"/>
        </w:rPr>
        <w:t>三是</w:t>
      </w:r>
      <w:r>
        <w:rPr>
          <w:rFonts w:hint="eastAsia" w:ascii="宋体" w:hAnsi="宋体" w:eastAsia="宋体" w:cs="宋体"/>
          <w:color w:val="000000"/>
          <w:sz w:val="32"/>
          <w:szCs w:val="32"/>
        </w:rPr>
        <w:t>通过建党100周年大型文艺演出活动、纪念馆展厅建党100周年陈列布</w:t>
      </w:r>
      <w:r>
        <w:rPr>
          <w:rFonts w:hint="eastAsia" w:ascii="宋体" w:hAnsi="宋体" w:eastAsia="宋体" w:cs="宋体"/>
          <w:sz w:val="32"/>
          <w:szCs w:val="32"/>
        </w:rPr>
        <w:t>展、文物征集，达到了广泛宣传中国共产党百年前的峥嵘岁月，无数革命先烈前赴后继抛头颅洒热血，为我们换来了今天的幸福生活</w:t>
      </w:r>
      <w:r>
        <w:rPr>
          <w:rFonts w:hint="eastAsia" w:ascii="宋体" w:hAnsi="宋体" w:eastAsia="宋体" w:cs="宋体"/>
          <w:color w:val="000000"/>
          <w:kern w:val="0"/>
          <w:sz w:val="32"/>
          <w:szCs w:val="32"/>
          <w:lang w:eastAsia="zh-CN"/>
        </w:rPr>
        <w:t>。四是文物征集。</w:t>
      </w:r>
      <w:r>
        <w:rPr>
          <w:rFonts w:hint="eastAsia" w:ascii="宋体" w:hAnsi="宋体" w:cs="黑体"/>
          <w:color w:val="000000"/>
          <w:kern w:val="0"/>
          <w:sz w:val="32"/>
          <w:szCs w:val="32"/>
        </w:rPr>
        <w:t>发现的主要问题及原因：</w:t>
      </w:r>
      <w:r>
        <w:rPr>
          <w:rFonts w:hint="eastAsia" w:ascii="宋体" w:hAnsi="宋体" w:eastAsia="宋体" w:cs="宋体"/>
          <w:color w:val="000000"/>
          <w:kern w:val="0"/>
          <w:sz w:val="32"/>
          <w:szCs w:val="32"/>
        </w:rPr>
        <w:t>一是</w:t>
      </w:r>
      <w:r>
        <w:rPr>
          <w:rFonts w:hint="eastAsia" w:ascii="宋体" w:hAnsi="宋体" w:eastAsia="宋体" w:cs="宋体"/>
          <w:sz w:val="32"/>
          <w:szCs w:val="32"/>
        </w:rPr>
        <w:t>上半年由于疫情影响，导致文物征集工作滞后</w:t>
      </w:r>
      <w:r>
        <w:rPr>
          <w:rFonts w:hint="eastAsia" w:ascii="宋体" w:hAnsi="宋体" w:cs="黑体"/>
          <w:color w:val="000000"/>
          <w:kern w:val="0"/>
          <w:sz w:val="32"/>
          <w:szCs w:val="32"/>
        </w:rPr>
        <w:t>。下一步改进措施：一是</w:t>
      </w:r>
      <w:r>
        <w:rPr>
          <w:rFonts w:hint="eastAsia" w:ascii="宋体" w:hAnsi="宋体" w:eastAsia="宋体" w:cs="宋体"/>
          <w:sz w:val="32"/>
          <w:szCs w:val="32"/>
        </w:rPr>
        <w:t>下半年，疫情封控情况好转后，我园立即组织专家组赴征集地对文物进行甄别，共采购红色文物40余件</w:t>
      </w:r>
      <w:r>
        <w:rPr>
          <w:rFonts w:hint="eastAsia" w:ascii="宋体" w:hAnsi="宋体" w:eastAsia="宋体" w:cs="宋体"/>
          <w:color w:val="000000"/>
          <w:kern w:val="0"/>
          <w:sz w:val="32"/>
          <w:szCs w:val="32"/>
        </w:rPr>
        <w:t>。</w:t>
      </w:r>
    </w:p>
    <w:p>
      <w:pPr>
        <w:autoSpaceDE w:val="0"/>
        <w:autoSpaceDN w:val="0"/>
        <w:adjustRightInd w:val="0"/>
        <w:ind w:firstLine="640" w:firstLineChars="200"/>
        <w:jc w:val="left"/>
        <w:rPr>
          <w:rFonts w:hint="eastAsia" w:ascii="宋体" w:hAnsi="宋体" w:eastAsia="宋体" w:cs="宋体"/>
          <w:color w:val="auto"/>
          <w:kern w:val="0"/>
          <w:sz w:val="32"/>
          <w:szCs w:val="32"/>
        </w:rPr>
      </w:pPr>
      <w:r>
        <w:rPr>
          <w:rFonts w:hint="eastAsia" w:ascii="宋体" w:hAnsi="宋体" w:eastAsia="宋体" w:cs="宋体"/>
          <w:color w:val="auto"/>
          <w:sz w:val="32"/>
          <w:szCs w:val="32"/>
        </w:rPr>
        <w:t>湘南起义纪念园提质改造前期经费、红色文化旅游标志标牌和智慧旅游建设工程</w:t>
      </w:r>
      <w:r>
        <w:rPr>
          <w:rFonts w:hint="eastAsia" w:ascii="宋体" w:hAnsi="宋体" w:eastAsia="宋体" w:cs="宋体"/>
          <w:color w:val="auto"/>
          <w:kern w:val="0"/>
          <w:sz w:val="32"/>
          <w:szCs w:val="32"/>
        </w:rPr>
        <w:t>项目绩效自评综述：根据年初设定的绩效目标，项目绩效自评得分为</w:t>
      </w:r>
      <w:r>
        <w:rPr>
          <w:rFonts w:hint="eastAsia" w:ascii="宋体" w:hAnsi="宋体" w:eastAsia="宋体" w:cs="宋体"/>
          <w:color w:val="auto"/>
          <w:kern w:val="0"/>
          <w:sz w:val="32"/>
          <w:szCs w:val="32"/>
          <w:lang w:val="en-US" w:eastAsia="zh-CN"/>
        </w:rPr>
        <w:t>95</w:t>
      </w:r>
      <w:r>
        <w:rPr>
          <w:rFonts w:hint="eastAsia" w:ascii="宋体" w:hAnsi="宋体" w:eastAsia="宋体" w:cs="宋体"/>
          <w:color w:val="auto"/>
          <w:kern w:val="0"/>
          <w:sz w:val="32"/>
          <w:szCs w:val="32"/>
        </w:rPr>
        <w:t>分。项目全年预算数为</w:t>
      </w:r>
      <w:r>
        <w:rPr>
          <w:rFonts w:hint="eastAsia" w:ascii="宋体" w:hAnsi="宋体" w:eastAsia="宋体" w:cs="宋体"/>
          <w:color w:val="auto"/>
          <w:kern w:val="0"/>
          <w:sz w:val="32"/>
          <w:szCs w:val="32"/>
          <w:lang w:val="en-US" w:eastAsia="zh-CN"/>
        </w:rPr>
        <w:t>89.2</w:t>
      </w:r>
      <w:r>
        <w:rPr>
          <w:rFonts w:hint="eastAsia" w:ascii="宋体" w:hAnsi="宋体" w:eastAsia="宋体" w:cs="宋体"/>
          <w:color w:val="auto"/>
          <w:kern w:val="0"/>
          <w:sz w:val="32"/>
          <w:szCs w:val="32"/>
        </w:rPr>
        <w:t>万元，执行数为</w:t>
      </w:r>
      <w:r>
        <w:rPr>
          <w:rFonts w:hint="eastAsia" w:ascii="宋体" w:hAnsi="宋体" w:eastAsia="宋体" w:cs="宋体"/>
          <w:color w:val="auto"/>
          <w:kern w:val="0"/>
          <w:sz w:val="32"/>
          <w:szCs w:val="32"/>
          <w:lang w:val="en-US" w:eastAsia="zh-CN"/>
        </w:rPr>
        <w:t>89.2</w:t>
      </w:r>
      <w:r>
        <w:rPr>
          <w:rFonts w:hint="eastAsia" w:ascii="宋体" w:hAnsi="宋体" w:eastAsia="宋体" w:cs="宋体"/>
          <w:color w:val="auto"/>
          <w:kern w:val="0"/>
          <w:sz w:val="32"/>
          <w:szCs w:val="32"/>
        </w:rPr>
        <w:t>万元，完成预算的</w:t>
      </w:r>
      <w:r>
        <w:rPr>
          <w:rFonts w:hint="eastAsia" w:ascii="宋体" w:hAnsi="宋体" w:eastAsia="宋体" w:cs="宋体"/>
          <w:color w:val="auto"/>
          <w:kern w:val="0"/>
          <w:sz w:val="32"/>
          <w:szCs w:val="32"/>
          <w:lang w:val="en-US" w:eastAsia="zh-CN"/>
        </w:rPr>
        <w:t>100</w:t>
      </w:r>
      <w:r>
        <w:rPr>
          <w:rFonts w:hint="eastAsia" w:ascii="宋体" w:hAnsi="宋体" w:eastAsia="宋体" w:cs="宋体"/>
          <w:color w:val="auto"/>
          <w:kern w:val="0"/>
          <w:sz w:val="32"/>
          <w:szCs w:val="32"/>
        </w:rPr>
        <w:t>%。项目绩效目标完成情况：一是</w:t>
      </w:r>
      <w:r>
        <w:rPr>
          <w:rFonts w:hint="eastAsia" w:ascii="宋体" w:hAnsi="宋体" w:eastAsia="宋体" w:cs="宋体"/>
          <w:color w:val="auto"/>
          <w:sz w:val="32"/>
          <w:szCs w:val="32"/>
        </w:rPr>
        <w:t>按照项目前期规划，已完成纪念园提质改造前期初步工作，包括工程</w:t>
      </w:r>
      <w:r>
        <w:rPr>
          <w:rFonts w:hint="eastAsia" w:ascii="宋体" w:hAnsi="宋体" w:eastAsia="宋体" w:cs="宋体"/>
          <w:color w:val="auto"/>
          <w:sz w:val="32"/>
          <w:szCs w:val="32"/>
          <w:highlight w:val="none"/>
        </w:rPr>
        <w:t>项目可研编制、道路设计、道路勘察、集散纪念广场设计等，为工程下步施工奠定基础</w:t>
      </w:r>
      <w:r>
        <w:rPr>
          <w:rFonts w:hint="eastAsia" w:ascii="宋体" w:hAnsi="宋体" w:eastAsia="宋体" w:cs="宋体"/>
          <w:color w:val="auto"/>
          <w:kern w:val="0"/>
          <w:sz w:val="32"/>
          <w:szCs w:val="32"/>
        </w:rPr>
        <w:t>；二</w:t>
      </w:r>
      <w:r>
        <w:rPr>
          <w:rFonts w:hint="eastAsia" w:ascii="宋体" w:hAnsi="宋体" w:eastAsia="宋体" w:cs="宋体"/>
          <w:color w:val="auto"/>
          <w:kern w:val="0"/>
          <w:sz w:val="32"/>
          <w:szCs w:val="32"/>
          <w:lang w:eastAsia="zh-CN"/>
        </w:rPr>
        <w:t>是</w:t>
      </w:r>
      <w:r>
        <w:rPr>
          <w:rFonts w:hint="eastAsia" w:ascii="宋体" w:hAnsi="宋体" w:eastAsia="宋体" w:cs="宋体"/>
          <w:color w:val="auto"/>
          <w:sz w:val="32"/>
          <w:szCs w:val="32"/>
          <w:highlight w:val="none"/>
        </w:rPr>
        <w:t>完成纪念园红色文化旅游标识标牌及智慧旅游建设性工作，包括纪念馆道路导向牌制作安装、游客服务中心升级改造、夏明震烈士纪念碑周围环境整治等，园区面貌已焕然一新，带动了我园红色旅游</w:t>
      </w:r>
      <w:r>
        <w:rPr>
          <w:rFonts w:hint="eastAsia" w:ascii="宋体" w:hAnsi="宋体" w:eastAsia="宋体" w:cs="宋体"/>
          <w:color w:val="auto"/>
          <w:sz w:val="32"/>
          <w:szCs w:val="32"/>
        </w:rPr>
        <w:t>发展</w:t>
      </w:r>
      <w:r>
        <w:rPr>
          <w:rFonts w:hint="eastAsia" w:ascii="宋体" w:hAnsi="宋体" w:eastAsia="宋体" w:cs="宋体"/>
          <w:color w:val="auto"/>
          <w:sz w:val="32"/>
          <w:szCs w:val="32"/>
          <w:lang w:eastAsia="zh-CN"/>
        </w:rPr>
        <w:t>。</w:t>
      </w:r>
      <w:r>
        <w:rPr>
          <w:rFonts w:hint="eastAsia" w:ascii="宋体" w:hAnsi="宋体" w:eastAsia="宋体" w:cs="宋体"/>
          <w:color w:val="auto"/>
          <w:kern w:val="0"/>
          <w:sz w:val="32"/>
          <w:szCs w:val="32"/>
        </w:rPr>
        <w:t>发现的主要问题及原因：一是</w:t>
      </w:r>
      <w:r>
        <w:rPr>
          <w:rFonts w:hint="eastAsia" w:ascii="宋体" w:hAnsi="宋体" w:eastAsia="宋体" w:cs="宋体"/>
          <w:color w:val="auto"/>
          <w:sz w:val="32"/>
          <w:szCs w:val="32"/>
        </w:rPr>
        <w:t>2020年初，由于疫情影响，导致游客服务中心提质改造工作滞后</w:t>
      </w:r>
      <w:r>
        <w:rPr>
          <w:rFonts w:hint="eastAsia" w:ascii="宋体" w:hAnsi="宋体" w:eastAsia="宋体" w:cs="宋体"/>
          <w:color w:val="auto"/>
          <w:kern w:val="0"/>
          <w:sz w:val="32"/>
          <w:szCs w:val="32"/>
        </w:rPr>
        <w:t>。下一步改进措施：一是</w:t>
      </w:r>
      <w:r>
        <w:rPr>
          <w:rFonts w:hint="eastAsia" w:ascii="宋体" w:hAnsi="宋体" w:eastAsia="宋体" w:cs="宋体"/>
          <w:color w:val="auto"/>
          <w:sz w:val="32"/>
          <w:szCs w:val="32"/>
        </w:rPr>
        <w:t>2021年已按工程要求如期完成</w:t>
      </w:r>
      <w:r>
        <w:rPr>
          <w:rFonts w:hint="eastAsia" w:ascii="宋体" w:hAnsi="宋体" w:eastAsia="宋体" w:cs="宋体"/>
          <w:color w:val="auto"/>
          <w:kern w:val="0"/>
          <w:sz w:val="32"/>
          <w:szCs w:val="32"/>
        </w:rPr>
        <w:t>。</w:t>
      </w:r>
    </w:p>
    <w:p>
      <w:pPr>
        <w:numPr>
          <w:ilvl w:val="0"/>
          <w:numId w:val="0"/>
        </w:numPr>
        <w:ind w:right="71" w:rightChars="34" w:firstLine="640" w:firstLineChars="200"/>
        <w:rPr>
          <w:rFonts w:hint="eastAsia" w:ascii="宋体" w:hAnsi="宋体" w:eastAsia="宋体" w:cs="宋体"/>
          <w:color w:val="auto"/>
          <w:kern w:val="0"/>
          <w:sz w:val="32"/>
          <w:szCs w:val="32"/>
        </w:rPr>
      </w:pPr>
      <w:r>
        <w:rPr>
          <w:rFonts w:hint="eastAsia" w:ascii="宋体" w:hAnsi="宋体" w:eastAsia="宋体" w:cs="宋体"/>
          <w:color w:val="auto"/>
          <w:sz w:val="32"/>
          <w:szCs w:val="32"/>
        </w:rPr>
        <w:t>湘南起义旧址-郴县苏维埃政府（陈家大屋)修缮、消安防工程</w:t>
      </w:r>
      <w:r>
        <w:rPr>
          <w:rFonts w:hint="eastAsia" w:ascii="宋体" w:hAnsi="宋体" w:eastAsia="宋体" w:cs="宋体"/>
          <w:color w:val="auto"/>
          <w:kern w:val="0"/>
          <w:sz w:val="32"/>
          <w:szCs w:val="32"/>
        </w:rPr>
        <w:t>项目绩效自评综述：根据年初设定的绩效目标，项目绩效自评得分为</w:t>
      </w:r>
      <w:r>
        <w:rPr>
          <w:rFonts w:hint="eastAsia" w:ascii="宋体" w:hAnsi="宋体" w:eastAsia="宋体" w:cs="宋体"/>
          <w:color w:val="auto"/>
          <w:kern w:val="0"/>
          <w:sz w:val="32"/>
          <w:szCs w:val="32"/>
          <w:lang w:val="en-US" w:eastAsia="zh-CN"/>
        </w:rPr>
        <w:t>94</w:t>
      </w:r>
      <w:r>
        <w:rPr>
          <w:rFonts w:hint="eastAsia" w:ascii="宋体" w:hAnsi="宋体" w:eastAsia="宋体" w:cs="宋体"/>
          <w:color w:val="auto"/>
          <w:kern w:val="0"/>
          <w:sz w:val="32"/>
          <w:szCs w:val="32"/>
        </w:rPr>
        <w:t>分。项目全年预算数为</w:t>
      </w:r>
      <w:r>
        <w:rPr>
          <w:rFonts w:hint="eastAsia" w:ascii="宋体" w:hAnsi="宋体" w:eastAsia="宋体" w:cs="宋体"/>
          <w:color w:val="auto"/>
          <w:kern w:val="0"/>
          <w:sz w:val="32"/>
          <w:szCs w:val="32"/>
          <w:lang w:val="en-US" w:eastAsia="zh-CN"/>
        </w:rPr>
        <w:t>130.25</w:t>
      </w:r>
      <w:r>
        <w:rPr>
          <w:rFonts w:hint="eastAsia" w:ascii="宋体" w:hAnsi="宋体" w:eastAsia="宋体" w:cs="宋体"/>
          <w:color w:val="auto"/>
          <w:kern w:val="0"/>
          <w:sz w:val="32"/>
          <w:szCs w:val="32"/>
        </w:rPr>
        <w:t>万元，执行数为</w:t>
      </w:r>
      <w:r>
        <w:rPr>
          <w:rFonts w:hint="eastAsia" w:ascii="宋体" w:hAnsi="宋体" w:eastAsia="宋体" w:cs="宋体"/>
          <w:color w:val="auto"/>
          <w:kern w:val="0"/>
          <w:sz w:val="32"/>
          <w:szCs w:val="32"/>
          <w:lang w:val="en-US" w:eastAsia="zh-CN"/>
        </w:rPr>
        <w:t>130.25</w:t>
      </w:r>
      <w:r>
        <w:rPr>
          <w:rFonts w:hint="eastAsia" w:ascii="宋体" w:hAnsi="宋体" w:eastAsia="宋体" w:cs="宋体"/>
          <w:color w:val="auto"/>
          <w:kern w:val="0"/>
          <w:sz w:val="32"/>
          <w:szCs w:val="32"/>
        </w:rPr>
        <w:t>万元，完成预算的</w:t>
      </w:r>
      <w:r>
        <w:rPr>
          <w:rFonts w:hint="eastAsia" w:ascii="宋体" w:hAnsi="宋体" w:eastAsia="宋体" w:cs="宋体"/>
          <w:color w:val="auto"/>
          <w:kern w:val="0"/>
          <w:sz w:val="32"/>
          <w:szCs w:val="32"/>
          <w:lang w:val="en-US" w:eastAsia="zh-CN"/>
        </w:rPr>
        <w:t>100</w:t>
      </w:r>
      <w:r>
        <w:rPr>
          <w:rFonts w:hint="eastAsia" w:ascii="宋体" w:hAnsi="宋体" w:eastAsia="宋体" w:cs="宋体"/>
          <w:color w:val="auto"/>
          <w:kern w:val="0"/>
          <w:sz w:val="32"/>
          <w:szCs w:val="32"/>
        </w:rPr>
        <w:t>%。项目绩效目标完成情况：一是</w:t>
      </w:r>
      <w:r>
        <w:rPr>
          <w:rFonts w:hint="eastAsia" w:ascii="宋体" w:hAnsi="宋体" w:eastAsia="宋体" w:cs="宋体"/>
          <w:color w:val="auto"/>
          <w:sz w:val="32"/>
          <w:szCs w:val="32"/>
        </w:rPr>
        <w:t>对陈家大屋旧址进行修缮提质改造，使旧址再现晚清民居风貌，提高了红色文化旅游景点影响力，带动我市红色旅游发展</w:t>
      </w:r>
      <w:r>
        <w:rPr>
          <w:rFonts w:hint="eastAsia" w:ascii="宋体" w:hAnsi="宋体" w:eastAsia="宋体" w:cs="宋体"/>
          <w:color w:val="auto"/>
          <w:kern w:val="0"/>
          <w:sz w:val="32"/>
          <w:szCs w:val="32"/>
        </w:rPr>
        <w:t>；二是</w:t>
      </w:r>
      <w:r>
        <w:rPr>
          <w:rFonts w:hint="eastAsia" w:ascii="宋体" w:hAnsi="宋体" w:eastAsia="宋体" w:cs="宋体"/>
          <w:color w:val="auto"/>
          <w:sz w:val="32"/>
          <w:szCs w:val="32"/>
        </w:rPr>
        <w:t>对陈家大屋旧址及周边消、安防问题实施排查，进行勘察、设计和施工，及时增添消防设</w:t>
      </w:r>
      <w:r>
        <w:rPr>
          <w:rFonts w:hint="eastAsia" w:ascii="宋体" w:hAnsi="宋体" w:eastAsia="宋体" w:cs="宋体"/>
          <w:color w:val="auto"/>
          <w:sz w:val="32"/>
          <w:szCs w:val="32"/>
          <w:highlight w:val="none"/>
        </w:rPr>
        <w:t>施并增派安保人员，</w:t>
      </w:r>
      <w:r>
        <w:rPr>
          <w:rFonts w:hint="eastAsia" w:ascii="宋体" w:hAnsi="宋体" w:eastAsia="宋体" w:cs="宋体"/>
          <w:color w:val="auto"/>
          <w:sz w:val="32"/>
          <w:szCs w:val="32"/>
        </w:rPr>
        <w:t>消除了旧址存在潜在的安全隐患，解除了后顾之忧</w:t>
      </w:r>
      <w:r>
        <w:rPr>
          <w:rFonts w:hint="eastAsia" w:ascii="宋体" w:hAnsi="宋体" w:eastAsia="宋体" w:cs="宋体"/>
          <w:color w:val="auto"/>
          <w:kern w:val="0"/>
          <w:sz w:val="32"/>
          <w:szCs w:val="32"/>
        </w:rPr>
        <w:t>。发现的主要问题及原因：一是</w:t>
      </w:r>
      <w:r>
        <w:rPr>
          <w:rFonts w:hint="eastAsia" w:ascii="宋体" w:hAnsi="宋体" w:eastAsia="宋体" w:cs="宋体"/>
          <w:color w:val="auto"/>
          <w:sz w:val="32"/>
          <w:szCs w:val="32"/>
        </w:rPr>
        <w:t>2020年由于疫情影响，导致消安防工程施工进度滞</w:t>
      </w:r>
      <w:r>
        <w:rPr>
          <w:rFonts w:hint="eastAsia" w:ascii="宋体" w:hAnsi="宋体" w:eastAsia="宋体" w:cs="宋体"/>
          <w:color w:val="auto"/>
          <w:sz w:val="32"/>
          <w:szCs w:val="32"/>
          <w:lang w:eastAsia="zh-CN"/>
        </w:rPr>
        <w:t>后</w:t>
      </w:r>
      <w:r>
        <w:rPr>
          <w:rFonts w:hint="eastAsia" w:ascii="宋体" w:hAnsi="宋体" w:eastAsia="宋体" w:cs="宋体"/>
          <w:color w:val="auto"/>
          <w:kern w:val="0"/>
          <w:sz w:val="32"/>
          <w:szCs w:val="32"/>
        </w:rPr>
        <w:t>。下一步改进措施：</w:t>
      </w:r>
      <w:r>
        <w:rPr>
          <w:rFonts w:hint="eastAsia" w:ascii="宋体" w:hAnsi="宋体" w:eastAsia="宋体" w:cs="宋体"/>
          <w:color w:val="auto"/>
          <w:sz w:val="32"/>
          <w:szCs w:val="32"/>
        </w:rPr>
        <w:t>2021年下半年，抢时间，保质保量已完成消安防工程全部工作</w:t>
      </w:r>
      <w:r>
        <w:rPr>
          <w:rFonts w:hint="eastAsia" w:ascii="宋体" w:hAnsi="宋体" w:eastAsia="宋体" w:cs="宋体"/>
          <w:color w:val="auto"/>
          <w:kern w:val="0"/>
          <w:sz w:val="32"/>
          <w:szCs w:val="32"/>
        </w:rPr>
        <w:t>。</w:t>
      </w:r>
    </w:p>
    <w:p>
      <w:pPr>
        <w:pStyle w:val="2"/>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湘南起义纪念馆消防及布展资金</w:t>
      </w:r>
      <w:r>
        <w:rPr>
          <w:rFonts w:hint="eastAsia" w:ascii="宋体" w:hAnsi="宋体" w:eastAsia="宋体" w:cs="宋体"/>
          <w:color w:val="auto"/>
          <w:kern w:val="0"/>
          <w:sz w:val="32"/>
          <w:szCs w:val="32"/>
        </w:rPr>
        <w:t>项目绩效自评综述：根据年初设定的绩效目标，项目绩效自评得分为</w:t>
      </w:r>
      <w:r>
        <w:rPr>
          <w:rFonts w:hint="eastAsia" w:ascii="宋体" w:hAnsi="宋体" w:eastAsia="宋体" w:cs="宋体"/>
          <w:color w:val="auto"/>
          <w:kern w:val="0"/>
          <w:sz w:val="32"/>
          <w:szCs w:val="32"/>
          <w:lang w:val="en-US" w:eastAsia="zh-CN"/>
        </w:rPr>
        <w:t>95</w:t>
      </w:r>
      <w:r>
        <w:rPr>
          <w:rFonts w:hint="eastAsia" w:ascii="宋体" w:hAnsi="宋体" w:eastAsia="宋体" w:cs="宋体"/>
          <w:color w:val="auto"/>
          <w:kern w:val="0"/>
          <w:sz w:val="32"/>
          <w:szCs w:val="32"/>
        </w:rPr>
        <w:t>分。项目全年预算数为</w:t>
      </w:r>
      <w:r>
        <w:rPr>
          <w:rFonts w:hint="eastAsia" w:ascii="宋体" w:hAnsi="宋体" w:eastAsia="宋体" w:cs="宋体"/>
          <w:color w:val="auto"/>
          <w:kern w:val="0"/>
          <w:sz w:val="32"/>
          <w:szCs w:val="32"/>
          <w:lang w:val="en-US" w:eastAsia="zh-CN"/>
        </w:rPr>
        <w:t>91.75</w:t>
      </w:r>
      <w:r>
        <w:rPr>
          <w:rFonts w:hint="eastAsia" w:ascii="宋体" w:hAnsi="宋体" w:eastAsia="宋体" w:cs="宋体"/>
          <w:color w:val="auto"/>
          <w:kern w:val="0"/>
          <w:sz w:val="32"/>
          <w:szCs w:val="32"/>
        </w:rPr>
        <w:t>万元，执行数为</w:t>
      </w:r>
      <w:r>
        <w:rPr>
          <w:rFonts w:hint="eastAsia" w:ascii="宋体" w:hAnsi="宋体" w:eastAsia="宋体" w:cs="宋体"/>
          <w:color w:val="auto"/>
          <w:kern w:val="0"/>
          <w:sz w:val="32"/>
          <w:szCs w:val="32"/>
          <w:lang w:val="en-US" w:eastAsia="zh-CN"/>
        </w:rPr>
        <w:t>91.75</w:t>
      </w:r>
      <w:r>
        <w:rPr>
          <w:rFonts w:hint="eastAsia" w:ascii="宋体" w:hAnsi="宋体" w:eastAsia="宋体" w:cs="宋体"/>
          <w:color w:val="auto"/>
          <w:kern w:val="0"/>
          <w:sz w:val="32"/>
          <w:szCs w:val="32"/>
        </w:rPr>
        <w:t>万元，完成预算的</w:t>
      </w:r>
      <w:r>
        <w:rPr>
          <w:rFonts w:hint="eastAsia" w:ascii="宋体" w:hAnsi="宋体" w:eastAsia="宋体" w:cs="宋体"/>
          <w:color w:val="auto"/>
          <w:kern w:val="0"/>
          <w:sz w:val="32"/>
          <w:szCs w:val="32"/>
          <w:lang w:val="en-US" w:eastAsia="zh-CN"/>
        </w:rPr>
        <w:t>100</w:t>
      </w:r>
      <w:r>
        <w:rPr>
          <w:rFonts w:hint="eastAsia" w:ascii="宋体" w:hAnsi="宋体" w:eastAsia="宋体" w:cs="宋体"/>
          <w:color w:val="auto"/>
          <w:kern w:val="0"/>
          <w:sz w:val="32"/>
          <w:szCs w:val="32"/>
        </w:rPr>
        <w:t>%。项目绩效目标完成情况：一是</w:t>
      </w:r>
      <w:r>
        <w:rPr>
          <w:rFonts w:hint="eastAsia" w:ascii="宋体" w:hAnsi="宋体" w:eastAsia="宋体" w:cs="宋体"/>
          <w:color w:val="auto"/>
          <w:sz w:val="32"/>
          <w:szCs w:val="32"/>
        </w:rPr>
        <w:t>2021年对纪念馆开展陈列布展</w:t>
      </w:r>
      <w:r>
        <w:rPr>
          <w:rFonts w:hint="eastAsia" w:ascii="宋体" w:hAnsi="宋体" w:eastAsia="宋体" w:cs="宋体"/>
          <w:color w:val="auto"/>
          <w:kern w:val="0"/>
          <w:sz w:val="32"/>
          <w:szCs w:val="32"/>
        </w:rPr>
        <w:t>；二是</w:t>
      </w:r>
      <w:r>
        <w:rPr>
          <w:rFonts w:hint="eastAsia" w:ascii="宋体" w:hAnsi="宋体" w:eastAsia="宋体" w:cs="宋体"/>
          <w:color w:val="auto"/>
          <w:sz w:val="32"/>
          <w:szCs w:val="32"/>
        </w:rPr>
        <w:t>对纪念馆展厅进行提质改造</w:t>
      </w:r>
      <w:r>
        <w:rPr>
          <w:rFonts w:hint="eastAsia" w:ascii="宋体" w:hAnsi="宋体" w:eastAsia="宋体" w:cs="宋体"/>
          <w:color w:val="auto"/>
          <w:sz w:val="32"/>
          <w:szCs w:val="32"/>
          <w:lang w:eastAsia="zh-CN"/>
        </w:rPr>
        <w:t>；三是</w:t>
      </w:r>
      <w:r>
        <w:rPr>
          <w:rFonts w:hint="eastAsia" w:ascii="宋体" w:hAnsi="宋体" w:eastAsia="宋体" w:cs="宋体"/>
          <w:color w:val="auto"/>
          <w:sz w:val="32"/>
          <w:szCs w:val="32"/>
        </w:rPr>
        <w:t>解决消防隐患，完善纪念馆展厅的消防工程</w:t>
      </w:r>
      <w:r>
        <w:rPr>
          <w:rFonts w:hint="eastAsia" w:ascii="宋体" w:hAnsi="宋体" w:eastAsia="宋体" w:cs="宋体"/>
          <w:color w:val="auto"/>
          <w:kern w:val="0"/>
          <w:sz w:val="32"/>
          <w:szCs w:val="32"/>
        </w:rPr>
        <w:t>。发现的主要问题及原因：一是</w:t>
      </w:r>
      <w:r>
        <w:rPr>
          <w:rFonts w:hint="eastAsia" w:ascii="宋体" w:hAnsi="宋体" w:eastAsia="宋体" w:cs="宋体"/>
          <w:color w:val="auto"/>
          <w:sz w:val="32"/>
          <w:szCs w:val="32"/>
        </w:rPr>
        <w:t>疫情影响，部分工作滞后</w:t>
      </w:r>
      <w:r>
        <w:rPr>
          <w:rFonts w:hint="eastAsia" w:ascii="宋体" w:hAnsi="宋体" w:eastAsia="宋体" w:cs="宋体"/>
          <w:color w:val="auto"/>
          <w:kern w:val="0"/>
          <w:sz w:val="32"/>
          <w:szCs w:val="32"/>
        </w:rPr>
        <w:t>。下一步改进措施：</w:t>
      </w:r>
      <w:r>
        <w:rPr>
          <w:rFonts w:hint="eastAsia" w:ascii="宋体" w:hAnsi="宋体" w:eastAsia="宋体" w:cs="宋体"/>
          <w:color w:val="auto"/>
          <w:sz w:val="32"/>
          <w:szCs w:val="32"/>
        </w:rPr>
        <w:t>2021年已按要求完成全部工作</w:t>
      </w:r>
      <w:r>
        <w:rPr>
          <w:rFonts w:hint="eastAsia" w:ascii="宋体" w:hAnsi="宋体" w:eastAsia="宋体" w:cs="宋体"/>
          <w:color w:val="auto"/>
          <w:kern w:val="0"/>
          <w:sz w:val="32"/>
          <w:szCs w:val="32"/>
        </w:rPr>
        <w:t>。</w:t>
      </w: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rPr>
          <w:sz w:val="72"/>
          <w:szCs w:val="72"/>
        </w:rPr>
      </w:pPr>
    </w:p>
    <w:p>
      <w:pPr>
        <w:pStyle w:val="12"/>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numPr>
          <w:ilvl w:val="0"/>
          <w:numId w:val="4"/>
        </w:numPr>
        <w:ind w:firstLine="640" w:firstLineChars="200"/>
        <w:jc w:val="left"/>
        <w:rPr>
          <w:rFonts w:hint="default" w:cs="黑体" w:asciiTheme="minorEastAsia" w:hAnsiTheme="minorEastAsia"/>
          <w:color w:val="000000"/>
          <w:kern w:val="0"/>
          <w:sz w:val="32"/>
          <w:szCs w:val="32"/>
          <w:lang w:val="en-US" w:eastAsia="zh-CN"/>
        </w:rPr>
      </w:pPr>
      <w:r>
        <w:rPr>
          <w:rFonts w:hint="default" w:cs="黑体" w:asciiTheme="minorEastAsia" w:hAnsiTheme="minorEastAsia"/>
          <w:color w:val="000000"/>
          <w:kern w:val="0"/>
          <w:sz w:val="32"/>
          <w:szCs w:val="32"/>
          <w:lang w:val="en-US" w:eastAsia="zh-CN"/>
        </w:rPr>
        <w:t>“</w:t>
      </w:r>
      <w:r>
        <w:rPr>
          <w:rFonts w:hint="eastAsia" w:cs="黑体" w:asciiTheme="minorEastAsia" w:hAnsiTheme="minorEastAsia"/>
          <w:color w:val="000000"/>
          <w:kern w:val="0"/>
          <w:sz w:val="32"/>
          <w:szCs w:val="32"/>
          <w:lang w:val="en-US" w:eastAsia="zh-CN"/>
        </w:rPr>
        <w:t>三公”经费：纳入财政预决算管理的“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燃料费、维修费、过路过桥费、保险费、安全奖励费用等支出；公务接待费反映单位按规定开支的各类公务接待（含外宾接待）支出。</w:t>
      </w:r>
    </w:p>
    <w:p>
      <w:pPr>
        <w:numPr>
          <w:ilvl w:val="0"/>
          <w:numId w:val="4"/>
        </w:numPr>
        <w:ind w:left="0" w:leftChars="0" w:firstLine="640" w:firstLineChars="200"/>
        <w:jc w:val="left"/>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lang w:eastAsia="zh-CN"/>
        </w:rPr>
        <w:t>机关运行费：指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它费用。</w:t>
      </w: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ascii="宋体" w:hAnsi="宋体" w:cs="黑体"/>
          <w:b/>
          <w:color w:val="000000"/>
          <w:kern w:val="0"/>
          <w:sz w:val="32"/>
          <w:szCs w:val="32"/>
        </w:rPr>
      </w:pPr>
      <w:r>
        <w:rPr>
          <w:rFonts w:hint="eastAsia" w:ascii="宋体" w:hAnsi="宋体" w:cs="黑体"/>
          <w:b/>
          <w:color w:val="000000"/>
          <w:kern w:val="0"/>
          <w:sz w:val="32"/>
          <w:szCs w:val="32"/>
        </w:rPr>
        <w:t>2021年度部门整体支出绩效评价报告</w:t>
      </w:r>
    </w:p>
    <w:p>
      <w:pPr>
        <w:spacing w:line="600" w:lineRule="exact"/>
        <w:rPr>
          <w:rFonts w:ascii="Times New Roman" w:hAnsi="Times New Roman" w:eastAsia="黑体"/>
          <w:sz w:val="32"/>
          <w:szCs w:val="32"/>
        </w:rPr>
      </w:pPr>
    </w:p>
    <w:p>
      <w:pPr>
        <w:spacing w:line="600" w:lineRule="exact"/>
        <w:rPr>
          <w:rFonts w:ascii="Times New Roman" w:hAnsi="Times New Roman" w:eastAsia="黑体"/>
          <w:sz w:val="32"/>
          <w:szCs w:val="32"/>
        </w:rPr>
      </w:pPr>
    </w:p>
    <w:p>
      <w:pPr>
        <w:spacing w:line="600" w:lineRule="exact"/>
        <w:jc w:val="left"/>
        <w:rPr>
          <w:rFonts w:ascii="Times New Roman" w:hAnsi="Times New Roman" w:eastAsia="黑体"/>
          <w:color w:val="000000"/>
          <w:sz w:val="32"/>
          <w:szCs w:val="32"/>
        </w:rPr>
      </w:pPr>
    </w:p>
    <w:p>
      <w:pPr>
        <w:pStyle w:val="2"/>
        <w:rPr>
          <w:rFonts w:ascii="Times New Roman" w:hAnsi="Times New Roman" w:eastAsia="黑体"/>
          <w:color w:val="000000"/>
          <w:sz w:val="32"/>
          <w:szCs w:val="32"/>
        </w:rPr>
      </w:pPr>
    </w:p>
    <w:p>
      <w:pPr>
        <w:pStyle w:val="2"/>
        <w:rPr>
          <w:rFonts w:ascii="Times New Roman" w:hAnsi="Times New Roman" w:eastAsia="黑体"/>
          <w:color w:val="000000"/>
          <w:sz w:val="32"/>
          <w:szCs w:val="32"/>
        </w:rPr>
      </w:pPr>
    </w:p>
    <w:p>
      <w:pPr>
        <w:pStyle w:val="2"/>
        <w:rPr>
          <w:rFonts w:ascii="Times New Roman" w:hAnsi="Times New Roman" w:eastAsia="黑体"/>
          <w:color w:val="000000"/>
          <w:sz w:val="32"/>
          <w:szCs w:val="32"/>
        </w:rPr>
      </w:pPr>
    </w:p>
    <w:p>
      <w:pPr>
        <w:pStyle w:val="2"/>
        <w:rPr>
          <w:rFonts w:ascii="Times New Roman" w:hAnsi="Times New Roman" w:eastAsia="黑体"/>
          <w:color w:val="000000"/>
          <w:sz w:val="32"/>
          <w:szCs w:val="32"/>
        </w:rPr>
      </w:pPr>
    </w:p>
    <w:p>
      <w:pPr>
        <w:pStyle w:val="2"/>
        <w:rPr>
          <w:rFonts w:ascii="Times New Roman" w:hAnsi="Times New Roman" w:eastAsia="黑体"/>
          <w:color w:val="000000"/>
          <w:sz w:val="32"/>
          <w:szCs w:val="32"/>
        </w:rPr>
      </w:pPr>
    </w:p>
    <w:p>
      <w:pPr>
        <w:pStyle w:val="2"/>
        <w:rPr>
          <w:rFonts w:ascii="Times New Roman" w:hAnsi="Times New Roman" w:eastAsia="黑体"/>
          <w:color w:val="000000"/>
          <w:sz w:val="32"/>
          <w:szCs w:val="32"/>
        </w:rPr>
      </w:pPr>
    </w:p>
    <w:p>
      <w:pPr>
        <w:pStyle w:val="2"/>
        <w:rPr>
          <w:rFonts w:ascii="Times New Roman" w:hAnsi="Times New Roman" w:eastAsia="黑体"/>
          <w:color w:val="000000"/>
          <w:sz w:val="32"/>
          <w:szCs w:val="32"/>
        </w:rPr>
      </w:pPr>
    </w:p>
    <w:p>
      <w:pPr>
        <w:pStyle w:val="2"/>
        <w:rPr>
          <w:rFonts w:ascii="Times New Roman" w:hAnsi="Times New Roman" w:eastAsia="黑体"/>
          <w:color w:val="000000"/>
          <w:sz w:val="32"/>
          <w:szCs w:val="32"/>
        </w:rPr>
      </w:pPr>
    </w:p>
    <w:p>
      <w:pPr>
        <w:pStyle w:val="2"/>
        <w:rPr>
          <w:rFonts w:ascii="Times New Roman" w:hAnsi="Times New Roman" w:eastAsia="黑体"/>
          <w:color w:val="000000"/>
          <w:sz w:val="32"/>
          <w:szCs w:val="32"/>
        </w:rPr>
      </w:pPr>
    </w:p>
    <w:p>
      <w:pPr>
        <w:pStyle w:val="2"/>
        <w:rPr>
          <w:rFonts w:ascii="Times New Roman" w:hAnsi="Times New Roman" w:eastAsia="黑体"/>
          <w:color w:val="000000"/>
          <w:sz w:val="32"/>
          <w:szCs w:val="32"/>
        </w:rPr>
      </w:pPr>
    </w:p>
    <w:p>
      <w:pPr>
        <w:pStyle w:val="2"/>
        <w:rPr>
          <w:rFonts w:ascii="Times New Roman" w:hAnsi="Times New Roman" w:eastAsia="黑体"/>
          <w:color w:val="000000"/>
          <w:sz w:val="32"/>
          <w:szCs w:val="32"/>
        </w:rPr>
      </w:pPr>
    </w:p>
    <w:p>
      <w:pPr>
        <w:pStyle w:val="2"/>
        <w:rPr>
          <w:rFonts w:ascii="Times New Roman" w:hAnsi="Times New Roman" w:eastAsia="黑体"/>
          <w:color w:val="000000"/>
          <w:sz w:val="32"/>
          <w:szCs w:val="32"/>
        </w:rPr>
      </w:pPr>
    </w:p>
    <w:p>
      <w:pPr>
        <w:pStyle w:val="2"/>
        <w:rPr>
          <w:rFonts w:ascii="Times New Roman" w:hAnsi="Times New Roman" w:eastAsia="黑体"/>
          <w:color w:val="000000"/>
          <w:sz w:val="32"/>
          <w:szCs w:val="32"/>
        </w:rPr>
      </w:pPr>
    </w:p>
    <w:p>
      <w:pPr>
        <w:pStyle w:val="2"/>
        <w:rPr>
          <w:rFonts w:ascii="Times New Roman" w:hAnsi="Times New Roman" w:eastAsia="黑体"/>
          <w:color w:val="000000"/>
          <w:sz w:val="32"/>
          <w:szCs w:val="32"/>
        </w:rPr>
      </w:pPr>
    </w:p>
    <w:p>
      <w:pPr>
        <w:pStyle w:val="2"/>
        <w:rPr>
          <w:rFonts w:ascii="Times New Roman" w:hAnsi="Times New Roman" w:eastAsia="黑体"/>
          <w:color w:val="000000"/>
          <w:sz w:val="32"/>
          <w:szCs w:val="32"/>
        </w:rPr>
      </w:pPr>
    </w:p>
    <w:p>
      <w:pPr>
        <w:pStyle w:val="2"/>
        <w:rPr>
          <w:rFonts w:ascii="Times New Roman" w:hAnsi="Times New Roman" w:eastAsia="黑体"/>
          <w:color w:val="000000"/>
          <w:sz w:val="32"/>
          <w:szCs w:val="32"/>
        </w:rPr>
      </w:pPr>
    </w:p>
    <w:p>
      <w:pPr>
        <w:spacing w:line="600" w:lineRule="exact"/>
        <w:ind w:right="455" w:rightChars="217"/>
        <w:jc w:val="left"/>
        <w:rPr>
          <w:rFonts w:hint="eastAsia" w:ascii="宋体" w:hAnsi="宋体" w:cs="宋体"/>
          <w:sz w:val="32"/>
          <w:szCs w:val="32"/>
        </w:rPr>
      </w:pPr>
      <w:r>
        <w:rPr>
          <w:rFonts w:hint="eastAsia" w:ascii="宋体" w:hAnsi="宋体" w:cs="宋体"/>
          <w:sz w:val="32"/>
          <w:szCs w:val="32"/>
        </w:rPr>
        <w:t>附件1</w:t>
      </w:r>
    </w:p>
    <w:p>
      <w:pPr>
        <w:spacing w:line="600" w:lineRule="exact"/>
        <w:rPr>
          <w:rFonts w:ascii="Times New Roman" w:hAnsi="Times New Roman" w:eastAsia="黑体"/>
          <w:sz w:val="32"/>
          <w:szCs w:val="32"/>
        </w:rPr>
      </w:pPr>
    </w:p>
    <w:p>
      <w:pPr>
        <w:spacing w:line="600" w:lineRule="exact"/>
        <w:rPr>
          <w:rFonts w:ascii="Times New Roman" w:hAnsi="Times New Roman" w:eastAsia="黑体"/>
          <w:sz w:val="32"/>
          <w:szCs w:val="32"/>
        </w:rPr>
      </w:pPr>
    </w:p>
    <w:p>
      <w:pPr>
        <w:spacing w:line="600" w:lineRule="exact"/>
        <w:rPr>
          <w:rFonts w:ascii="Times New Roman" w:hAnsi="Times New Roman" w:eastAsia="黑体"/>
          <w:sz w:val="32"/>
          <w:szCs w:val="32"/>
        </w:rPr>
      </w:pPr>
    </w:p>
    <w:p>
      <w:pPr>
        <w:jc w:val="center"/>
        <w:rPr>
          <w:rFonts w:hint="eastAsia" w:ascii="方正小标宋简体" w:hAnsi="Times New Roman" w:eastAsia="方正小标宋简体"/>
          <w:sz w:val="52"/>
          <w:szCs w:val="52"/>
          <w:lang w:val="zh-CN"/>
        </w:rPr>
      </w:pPr>
      <w:r>
        <w:rPr>
          <w:rFonts w:hint="eastAsia" w:ascii="方正小标宋简体" w:hAnsi="Times New Roman" w:eastAsia="方正小标宋简体"/>
          <w:sz w:val="52"/>
          <w:szCs w:val="52"/>
          <w:lang w:val="zh-CN"/>
        </w:rPr>
        <w:t>2021年度郴州市烈士公园（湘南起义纪念馆）整体支出</w:t>
      </w:r>
    </w:p>
    <w:p>
      <w:pPr>
        <w:jc w:val="center"/>
        <w:rPr>
          <w:rFonts w:hint="eastAsia" w:ascii="方正小标宋简体" w:hAnsi="Times New Roman" w:eastAsia="方正小标宋简体"/>
          <w:sz w:val="52"/>
          <w:szCs w:val="52"/>
          <w:lang w:val="zh-CN"/>
        </w:rPr>
      </w:pPr>
      <w:r>
        <w:rPr>
          <w:rFonts w:hint="eastAsia" w:ascii="方正小标宋简体" w:hAnsi="Times New Roman" w:eastAsia="方正小标宋简体"/>
          <w:sz w:val="52"/>
          <w:szCs w:val="52"/>
          <w:lang w:val="zh-CN"/>
        </w:rPr>
        <w:t>绩效自评报告</w:t>
      </w:r>
    </w:p>
    <w:p>
      <w:pPr>
        <w:jc w:val="center"/>
        <w:rPr>
          <w:rFonts w:ascii="Times New Roman" w:hAnsi="Times New Roman" w:eastAsia="方正小标宋_GBK"/>
          <w:b/>
          <w:sz w:val="52"/>
          <w:szCs w:val="52"/>
        </w:rPr>
      </w:pPr>
    </w:p>
    <w:p>
      <w:pPr>
        <w:jc w:val="center"/>
        <w:rPr>
          <w:rFonts w:ascii="Times New Roman" w:hAnsi="Times New Roman" w:eastAsia="楷体_GB2312"/>
          <w:b/>
          <w:sz w:val="32"/>
          <w:szCs w:val="32"/>
        </w:rPr>
      </w:pPr>
    </w:p>
    <w:p>
      <w:pPr>
        <w:jc w:val="center"/>
        <w:rPr>
          <w:rFonts w:ascii="Times New Roman" w:hAnsi="Times New Roman" w:eastAsia="楷体_GB2312"/>
          <w:b/>
          <w:sz w:val="32"/>
          <w:szCs w:val="32"/>
        </w:rPr>
      </w:pPr>
    </w:p>
    <w:p>
      <w:pPr>
        <w:jc w:val="center"/>
        <w:rPr>
          <w:rFonts w:ascii="Times New Roman" w:hAnsi="Times New Roman" w:eastAsia="楷体_GB2312"/>
          <w:b/>
          <w:sz w:val="32"/>
          <w:szCs w:val="32"/>
        </w:rPr>
      </w:pPr>
    </w:p>
    <w:p>
      <w:pPr>
        <w:jc w:val="center"/>
        <w:rPr>
          <w:rFonts w:ascii="Times New Roman" w:hAnsi="Times New Roman" w:eastAsia="楷体_GB2312"/>
          <w:b/>
          <w:sz w:val="32"/>
          <w:szCs w:val="32"/>
        </w:rPr>
      </w:pPr>
    </w:p>
    <w:p>
      <w:pPr>
        <w:jc w:val="center"/>
        <w:rPr>
          <w:rFonts w:ascii="Times New Roman" w:hAnsi="Times New Roman" w:eastAsia="楷体_GB2312"/>
          <w:b/>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spacing w:line="600" w:lineRule="exact"/>
        <w:ind w:firstLine="1920" w:firstLineChars="600"/>
        <w:rPr>
          <w:rFonts w:ascii="Times New Roman" w:hAnsi="Times New Roman" w:eastAsia="仿宋_GB2312"/>
          <w:sz w:val="32"/>
          <w:szCs w:val="32"/>
          <w:u w:val="single"/>
        </w:rPr>
      </w:pPr>
      <w:r>
        <w:rPr>
          <w:rFonts w:ascii="Times New Roman" w:hAnsi="Times New Roman" w:eastAsia="仿宋_GB2312"/>
          <w:sz w:val="32"/>
          <w:szCs w:val="32"/>
        </w:rPr>
        <w:t>单位名称：</w:t>
      </w:r>
      <w:r>
        <w:rPr>
          <w:rFonts w:ascii="Times New Roman" w:hAnsi="Times New Roman" w:eastAsia="仿宋_GB2312"/>
          <w:sz w:val="32"/>
          <w:szCs w:val="32"/>
          <w:u w:val="single"/>
        </w:rPr>
        <w:t xml:space="preserve">（盖章）        </w:t>
      </w:r>
    </w:p>
    <w:p>
      <w:pPr>
        <w:spacing w:line="600" w:lineRule="exact"/>
        <w:ind w:firstLine="3200" w:firstLineChars="1000"/>
        <w:rPr>
          <w:rFonts w:ascii="Times New Roman" w:hAnsi="Times New Roman" w:eastAsia="楷体_GB2312"/>
          <w:sz w:val="32"/>
          <w:szCs w:val="32"/>
        </w:rPr>
      </w:pPr>
      <w:r>
        <w:rPr>
          <w:rFonts w:ascii="Times New Roman" w:hAnsi="Times New Roman" w:eastAsia="楷体_GB2312"/>
          <w:sz w:val="32"/>
          <w:szCs w:val="32"/>
        </w:rPr>
        <w:t>年  月  日</w:t>
      </w:r>
    </w:p>
    <w:p>
      <w:pPr>
        <w:jc w:val="center"/>
        <w:rPr>
          <w:rFonts w:ascii="Times New Roman" w:hAnsi="Times New Roman" w:eastAsia="黑体"/>
          <w:sz w:val="32"/>
          <w:szCs w:val="32"/>
        </w:rPr>
      </w:pPr>
    </w:p>
    <w:p>
      <w:pPr>
        <w:jc w:val="center"/>
        <w:rPr>
          <w:rFonts w:ascii="Times New Roman" w:hAnsi="Times New Roman" w:eastAsia="仿宋_GB2312"/>
          <w:sz w:val="32"/>
          <w:szCs w:val="32"/>
        </w:rPr>
      </w:pPr>
      <w:r>
        <w:rPr>
          <w:rFonts w:ascii="Times New Roman" w:hAnsi="Times New Roman" w:eastAsia="仿宋_GB2312"/>
          <w:sz w:val="32"/>
          <w:szCs w:val="32"/>
        </w:rPr>
        <w:t>（此页为封面）</w:t>
      </w:r>
    </w:p>
    <w:p>
      <w:pPr>
        <w:widowControl/>
        <w:shd w:val="clear" w:color="auto" w:fill="FFFFFF"/>
        <w:spacing w:before="60" w:after="150" w:line="30" w:lineRule="atLeast"/>
        <w:ind w:firstLine="525"/>
        <w:jc w:val="left"/>
        <w:rPr>
          <w:rFonts w:hint="eastAsia" w:ascii="黑体" w:hAnsi="黑体" w:eastAsia="黑体" w:cs="黑体"/>
          <w:b/>
          <w:sz w:val="32"/>
          <w:szCs w:val="32"/>
        </w:rPr>
      </w:pPr>
      <w:r>
        <w:rPr>
          <w:rFonts w:ascii="Times New Roman" w:hAnsi="Times New Roman" w:eastAsia="仿宋_GB2312"/>
          <w:sz w:val="32"/>
          <w:szCs w:val="32"/>
        </w:rPr>
        <w:br w:type="page"/>
      </w:r>
      <w:r>
        <w:rPr>
          <w:rFonts w:hint="eastAsia" w:ascii="黑体" w:hAnsi="黑体" w:eastAsia="黑体" w:cs="黑体"/>
          <w:b/>
          <w:sz w:val="32"/>
          <w:szCs w:val="32"/>
        </w:rPr>
        <w:t>一、部门（单位）基本情况</w:t>
      </w:r>
    </w:p>
    <w:p>
      <w:pPr>
        <w:pStyle w:val="13"/>
        <w:suppressAutoHyphens/>
        <w:spacing w:line="500" w:lineRule="exact"/>
        <w:ind w:firstLine="602" w:firstLineChars="0"/>
        <w:rPr>
          <w:rFonts w:hint="eastAsia" w:ascii="Times New Roman" w:hAnsi="Times New Roman" w:eastAsia="楷体_GB2312" w:cs="Calibri"/>
          <w:b/>
          <w:sz w:val="32"/>
          <w:szCs w:val="32"/>
        </w:rPr>
      </w:pPr>
      <w:r>
        <w:rPr>
          <w:rFonts w:hint="eastAsia" w:ascii="Times New Roman" w:hAnsi="Times New Roman" w:eastAsia="楷体_GB2312" w:cs="Calibri"/>
          <w:b/>
          <w:sz w:val="32"/>
          <w:szCs w:val="32"/>
        </w:rPr>
        <w:t>（一）单位基本情况</w:t>
      </w:r>
    </w:p>
    <w:p>
      <w:pPr>
        <w:suppressAutoHyphens/>
        <w:spacing w:line="60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1、主要职能</w:t>
      </w:r>
    </w:p>
    <w:p>
      <w:pPr>
        <w:suppressAutoHyphens/>
        <w:spacing w:line="600" w:lineRule="exact"/>
        <w:ind w:firstLine="640" w:firstLineChars="200"/>
        <w:rPr>
          <w:rFonts w:hint="eastAsia" w:eastAsia="仿宋" w:cs="仿宋"/>
          <w:sz w:val="32"/>
          <w:szCs w:val="32"/>
          <w:lang w:val="zh-CN"/>
        </w:rPr>
      </w:pPr>
      <w:r>
        <w:rPr>
          <w:rFonts w:hint="eastAsia" w:eastAsia="仿宋" w:cs="仿宋"/>
          <w:sz w:val="32"/>
          <w:szCs w:val="32"/>
        </w:rPr>
        <w:t>郴州市烈士公园（湘南起义纪念馆），属郴州市文化旅游广电体育局二级机构，公益一类财政全额拨款事业单位。主要</w:t>
      </w:r>
      <w:r>
        <w:rPr>
          <w:rFonts w:hint="eastAsia" w:eastAsia="仿宋" w:cs="仿宋"/>
          <w:sz w:val="32"/>
          <w:szCs w:val="32"/>
          <w:lang w:val="zh-CN"/>
        </w:rPr>
        <w:t>负责承担烈士公园的基础设施建设管理、园林绿化管护、森林防火和公共服务等工作；参与湘南起义旧址群的保护规划编制；承担湘南起义指挥部旧址不可移动文物的保护、修缮、利用和红色文物收集、保管等工作；承担湘南起义纪念馆的史料收集、挖掘、研究、陈列、展览以及红色文化宣教和培训活动等工作。</w:t>
      </w:r>
    </w:p>
    <w:p>
      <w:pPr>
        <w:suppressAutoHyphens/>
        <w:spacing w:line="600" w:lineRule="exact"/>
        <w:ind w:firstLine="640" w:firstLineChars="200"/>
        <w:rPr>
          <w:rFonts w:hint="eastAsia" w:eastAsia="仿宋" w:cs="仿宋"/>
          <w:b/>
          <w:bCs/>
          <w:sz w:val="32"/>
          <w:szCs w:val="32"/>
          <w:lang w:val="zh-CN"/>
        </w:rPr>
      </w:pPr>
      <w:r>
        <w:rPr>
          <w:rFonts w:hint="eastAsia" w:eastAsia="仿宋" w:cs="仿宋"/>
          <w:b/>
          <w:bCs/>
          <w:sz w:val="32"/>
          <w:szCs w:val="32"/>
          <w:lang w:val="zh-CN"/>
        </w:rPr>
        <w:t>2、人员情况</w:t>
      </w:r>
    </w:p>
    <w:p>
      <w:pPr>
        <w:widowControl/>
        <w:shd w:val="clear" w:color="auto" w:fill="FFFFFF"/>
        <w:spacing w:before="60" w:after="150" w:line="30" w:lineRule="atLeast"/>
        <w:ind w:firstLine="525"/>
        <w:jc w:val="left"/>
        <w:rPr>
          <w:rFonts w:hint="eastAsia" w:eastAsia="仿宋" w:cs="仿宋"/>
          <w:sz w:val="32"/>
          <w:szCs w:val="32"/>
          <w:lang w:val="zh-CN"/>
        </w:rPr>
      </w:pPr>
      <w:r>
        <w:rPr>
          <w:rFonts w:hint="eastAsia" w:ascii="宋体" w:hAnsi="宋体" w:cs="宋体"/>
          <w:color w:val="333333"/>
          <w:sz w:val="24"/>
          <w:shd w:val="clear" w:color="auto" w:fill="FFFFFF"/>
          <w:lang w:bidi="ar"/>
        </w:rPr>
        <w:t xml:space="preserve"> </w:t>
      </w:r>
      <w:r>
        <w:rPr>
          <w:rFonts w:hint="eastAsia" w:eastAsia="仿宋" w:cs="仿宋"/>
          <w:sz w:val="32"/>
          <w:szCs w:val="32"/>
          <w:lang w:val="zh-CN"/>
        </w:rPr>
        <w:t>现有全额编制数28个，编内实有人数2</w:t>
      </w:r>
      <w:r>
        <w:rPr>
          <w:rFonts w:hint="eastAsia" w:eastAsia="仿宋" w:cs="仿宋"/>
          <w:sz w:val="32"/>
          <w:szCs w:val="32"/>
        </w:rPr>
        <w:t>4</w:t>
      </w:r>
      <w:r>
        <w:rPr>
          <w:rFonts w:hint="eastAsia" w:eastAsia="仿宋" w:cs="仿宋"/>
          <w:sz w:val="32"/>
          <w:szCs w:val="32"/>
          <w:lang w:val="zh-CN"/>
        </w:rPr>
        <w:t>名。职工总人数5</w:t>
      </w:r>
      <w:r>
        <w:rPr>
          <w:rFonts w:hint="eastAsia" w:eastAsia="仿宋" w:cs="仿宋"/>
          <w:sz w:val="32"/>
          <w:szCs w:val="32"/>
        </w:rPr>
        <w:t>4</w:t>
      </w:r>
      <w:r>
        <w:rPr>
          <w:rFonts w:hint="eastAsia" w:eastAsia="仿宋" w:cs="仿宋"/>
          <w:sz w:val="32"/>
          <w:szCs w:val="32"/>
          <w:lang w:val="zh-CN"/>
        </w:rPr>
        <w:t>人，其中在职人员3</w:t>
      </w:r>
      <w:r>
        <w:rPr>
          <w:rFonts w:hint="eastAsia" w:eastAsia="仿宋" w:cs="仿宋"/>
          <w:sz w:val="32"/>
          <w:szCs w:val="32"/>
        </w:rPr>
        <w:t>4</w:t>
      </w:r>
      <w:r>
        <w:rPr>
          <w:rFonts w:hint="eastAsia" w:eastAsia="仿宋" w:cs="仿宋"/>
          <w:sz w:val="32"/>
          <w:szCs w:val="32"/>
          <w:lang w:val="zh-CN"/>
        </w:rPr>
        <w:t>人（全额编制2</w:t>
      </w:r>
      <w:r>
        <w:rPr>
          <w:rFonts w:hint="eastAsia" w:eastAsia="仿宋" w:cs="仿宋"/>
          <w:sz w:val="32"/>
          <w:szCs w:val="32"/>
        </w:rPr>
        <w:t>4</w:t>
      </w:r>
      <w:r>
        <w:rPr>
          <w:rFonts w:hint="eastAsia" w:eastAsia="仿宋" w:cs="仿宋"/>
          <w:sz w:val="32"/>
          <w:szCs w:val="32"/>
          <w:lang w:val="zh-CN"/>
        </w:rPr>
        <w:t>人，编外退伍军人安置1人，编外聘用人员9人），退休人员</w:t>
      </w:r>
      <w:r>
        <w:rPr>
          <w:rFonts w:hint="eastAsia" w:eastAsia="仿宋" w:cs="仿宋"/>
          <w:sz w:val="32"/>
          <w:szCs w:val="32"/>
        </w:rPr>
        <w:t>20</w:t>
      </w:r>
      <w:r>
        <w:rPr>
          <w:rFonts w:hint="eastAsia" w:eastAsia="仿宋" w:cs="仿宋"/>
          <w:sz w:val="32"/>
          <w:szCs w:val="32"/>
          <w:lang w:val="zh-CN"/>
        </w:rPr>
        <w:t>人。</w:t>
      </w:r>
    </w:p>
    <w:p>
      <w:pPr>
        <w:suppressAutoHyphens/>
        <w:spacing w:line="600" w:lineRule="exact"/>
        <w:ind w:firstLine="640" w:firstLineChars="200"/>
        <w:rPr>
          <w:rFonts w:hint="eastAsia" w:eastAsia="仿宋" w:cs="仿宋"/>
          <w:b/>
          <w:bCs/>
          <w:sz w:val="32"/>
          <w:szCs w:val="32"/>
          <w:lang w:val="zh-CN"/>
        </w:rPr>
      </w:pPr>
      <w:r>
        <w:rPr>
          <w:rFonts w:hint="eastAsia" w:eastAsia="仿宋" w:cs="仿宋"/>
          <w:b/>
          <w:bCs/>
          <w:sz w:val="32"/>
          <w:szCs w:val="32"/>
          <w:lang w:val="zh-CN"/>
        </w:rPr>
        <w:t>3、机构设置</w:t>
      </w:r>
    </w:p>
    <w:p>
      <w:pPr>
        <w:widowControl/>
        <w:shd w:val="clear" w:color="auto" w:fill="FFFFFF"/>
        <w:spacing w:before="60" w:after="150" w:line="30" w:lineRule="atLeast"/>
        <w:ind w:firstLine="525"/>
        <w:jc w:val="left"/>
        <w:rPr>
          <w:rFonts w:hint="eastAsia" w:eastAsia="仿宋" w:cs="仿宋"/>
          <w:sz w:val="32"/>
          <w:szCs w:val="32"/>
          <w:lang w:val="zh-CN"/>
        </w:rPr>
      </w:pPr>
      <w:r>
        <w:rPr>
          <w:rFonts w:hint="eastAsia" w:eastAsia="仿宋" w:cs="仿宋"/>
          <w:sz w:val="32"/>
          <w:szCs w:val="32"/>
          <w:lang w:val="zh-CN"/>
        </w:rPr>
        <w:t>单位内设办公室、财务科、政工人事科、督察办、湘南起义旧址群管理科、规划陈列文物征集研究办、纪念馆宣传科、陈家大屋旧址管理科、基础设施建设科、园林绿化管理科、资产管理科、安保森防办12个内设机构。</w:t>
      </w:r>
    </w:p>
    <w:p>
      <w:pPr>
        <w:widowControl/>
        <w:shd w:val="clear" w:color="auto" w:fill="FFFFFF"/>
        <w:spacing w:before="60" w:after="150" w:line="30" w:lineRule="atLeast"/>
        <w:ind w:firstLine="525"/>
        <w:jc w:val="left"/>
        <w:rPr>
          <w:rFonts w:hint="eastAsia" w:ascii="黑体" w:hAnsi="黑体" w:eastAsia="黑体" w:cs="黑体"/>
          <w:b/>
          <w:sz w:val="32"/>
          <w:szCs w:val="32"/>
          <w:lang w:val="zh-CN"/>
        </w:rPr>
      </w:pPr>
      <w:r>
        <w:rPr>
          <w:rFonts w:hint="eastAsia" w:ascii="黑体" w:hAnsi="黑体" w:eastAsia="黑体" w:cs="黑体"/>
          <w:b/>
          <w:sz w:val="32"/>
          <w:szCs w:val="32"/>
          <w:lang w:val="zh-CN"/>
        </w:rPr>
        <w:t>二、一般公共预算支出情况</w:t>
      </w:r>
    </w:p>
    <w:p>
      <w:pPr>
        <w:widowControl/>
        <w:shd w:val="clear" w:color="auto" w:fill="FFFFFF"/>
        <w:spacing w:before="60" w:after="150" w:line="30" w:lineRule="atLeast"/>
        <w:ind w:firstLine="525"/>
        <w:jc w:val="left"/>
        <w:rPr>
          <w:rFonts w:hint="eastAsia" w:eastAsia="仿宋" w:cs="仿宋"/>
          <w:sz w:val="32"/>
          <w:szCs w:val="32"/>
          <w:lang w:val="zh-CN"/>
        </w:rPr>
      </w:pPr>
      <w:r>
        <w:rPr>
          <w:rFonts w:hint="eastAsia" w:eastAsia="仿宋" w:cs="仿宋"/>
          <w:sz w:val="32"/>
          <w:szCs w:val="32"/>
          <w:lang w:val="zh-CN"/>
        </w:rPr>
        <w:t>2021年全年预算数1403.38万元，全年决算数1363.7万元，其中基本支出</w:t>
      </w:r>
      <w:r>
        <w:rPr>
          <w:rFonts w:hint="eastAsia" w:eastAsia="仿宋" w:cs="仿宋"/>
          <w:sz w:val="32"/>
          <w:szCs w:val="32"/>
        </w:rPr>
        <w:t xml:space="preserve"> 375.26万元，项目支出988.45万元</w:t>
      </w:r>
      <w:r>
        <w:rPr>
          <w:rFonts w:hint="eastAsia" w:eastAsia="仿宋" w:cs="仿宋"/>
          <w:sz w:val="32"/>
          <w:szCs w:val="32"/>
          <w:lang w:val="zh-CN"/>
        </w:rPr>
        <w:t>。</w:t>
      </w:r>
    </w:p>
    <w:p>
      <w:pPr>
        <w:pStyle w:val="13"/>
        <w:suppressAutoHyphens/>
        <w:spacing w:line="500" w:lineRule="exact"/>
        <w:ind w:firstLine="602" w:firstLineChars="0"/>
        <w:rPr>
          <w:rFonts w:hint="eastAsia" w:ascii="Times New Roman" w:hAnsi="Times New Roman" w:eastAsia="楷体_GB2312" w:cs="Calibri"/>
          <w:b/>
          <w:sz w:val="32"/>
          <w:szCs w:val="32"/>
        </w:rPr>
      </w:pPr>
      <w:r>
        <w:rPr>
          <w:rFonts w:hint="eastAsia" w:ascii="Times New Roman" w:hAnsi="Times New Roman" w:eastAsia="楷体_GB2312" w:cs="Calibri"/>
          <w:b/>
          <w:sz w:val="32"/>
          <w:szCs w:val="32"/>
        </w:rPr>
        <w:t>（一）基本支出情况</w:t>
      </w:r>
    </w:p>
    <w:p>
      <w:pPr>
        <w:widowControl/>
        <w:shd w:val="clear" w:color="auto" w:fill="FFFFFF"/>
        <w:spacing w:before="60" w:after="150" w:line="30" w:lineRule="atLeast"/>
        <w:ind w:firstLine="525"/>
        <w:jc w:val="left"/>
        <w:rPr>
          <w:rFonts w:hint="eastAsia" w:eastAsia="仿宋" w:cs="仿宋"/>
          <w:sz w:val="32"/>
          <w:szCs w:val="32"/>
          <w:lang w:val="zh-CN"/>
        </w:rPr>
      </w:pPr>
      <w:r>
        <w:rPr>
          <w:rFonts w:hint="eastAsia" w:eastAsia="仿宋" w:cs="仿宋"/>
          <w:sz w:val="32"/>
          <w:szCs w:val="32"/>
          <w:lang w:val="zh-CN"/>
        </w:rPr>
        <w:t>2021年度一般公共预算基本支出392.28元，全年支出数为375.26万元，其中：</w:t>
      </w:r>
    </w:p>
    <w:p>
      <w:pPr>
        <w:widowControl/>
        <w:shd w:val="clear" w:color="auto" w:fill="FFFFFF"/>
        <w:spacing w:before="60" w:after="150" w:line="30" w:lineRule="atLeast"/>
        <w:ind w:firstLine="525"/>
        <w:jc w:val="left"/>
        <w:rPr>
          <w:rFonts w:hint="eastAsia" w:eastAsia="仿宋" w:cs="仿宋"/>
          <w:sz w:val="32"/>
          <w:szCs w:val="32"/>
          <w:lang w:val="zh-CN"/>
        </w:rPr>
      </w:pPr>
      <w:r>
        <w:rPr>
          <w:rFonts w:hint="eastAsia" w:eastAsia="仿宋" w:cs="仿宋"/>
          <w:sz w:val="32"/>
          <w:szCs w:val="32"/>
          <w:lang w:val="zh-CN"/>
        </w:rPr>
        <w:t>1．工资福利支出314.75万元，包括用于基本工资、津贴补贴、社保缴费等。</w:t>
      </w:r>
    </w:p>
    <w:p>
      <w:pPr>
        <w:widowControl/>
        <w:shd w:val="clear" w:color="auto" w:fill="FFFFFF"/>
        <w:spacing w:before="60" w:after="150" w:line="30" w:lineRule="atLeast"/>
        <w:ind w:firstLine="525"/>
        <w:jc w:val="left"/>
        <w:rPr>
          <w:rFonts w:hint="eastAsia" w:eastAsia="仿宋" w:cs="仿宋"/>
          <w:sz w:val="32"/>
          <w:szCs w:val="32"/>
          <w:lang w:val="zh-CN"/>
        </w:rPr>
      </w:pPr>
      <w:r>
        <w:rPr>
          <w:rFonts w:hint="eastAsia" w:eastAsia="仿宋" w:cs="仿宋"/>
          <w:sz w:val="32"/>
          <w:szCs w:val="32"/>
          <w:lang w:val="zh-CN"/>
        </w:rPr>
        <w:t>2．对个人和家庭补助支出34.09万元，包括退休费、生活补助、奖励金等。</w:t>
      </w:r>
    </w:p>
    <w:p>
      <w:pPr>
        <w:widowControl/>
        <w:shd w:val="clear" w:color="auto" w:fill="FFFFFF"/>
        <w:spacing w:before="60" w:after="150" w:line="30" w:lineRule="atLeast"/>
        <w:ind w:firstLine="525"/>
        <w:jc w:val="left"/>
        <w:rPr>
          <w:rFonts w:hint="eastAsia" w:eastAsia="仿宋" w:cs="仿宋"/>
          <w:sz w:val="32"/>
          <w:szCs w:val="32"/>
          <w:lang w:val="zh-CN"/>
        </w:rPr>
      </w:pPr>
      <w:r>
        <w:rPr>
          <w:rFonts w:hint="eastAsia" w:eastAsia="仿宋" w:cs="仿宋"/>
          <w:sz w:val="32"/>
          <w:szCs w:val="32"/>
          <w:lang w:val="zh-CN"/>
        </w:rPr>
        <w:t>3．商品和服务支出26.01万元，包括办公费、咨询费、水电费、差旅费、维修（护）费等日常公用经费。</w:t>
      </w:r>
    </w:p>
    <w:p>
      <w:pPr>
        <w:widowControl/>
        <w:shd w:val="clear" w:color="auto" w:fill="FFFFFF"/>
        <w:spacing w:before="60" w:after="150" w:line="30" w:lineRule="atLeast"/>
        <w:ind w:firstLine="525"/>
        <w:jc w:val="left"/>
        <w:rPr>
          <w:rFonts w:hint="eastAsia" w:eastAsia="仿宋" w:cs="仿宋"/>
          <w:sz w:val="32"/>
          <w:szCs w:val="32"/>
          <w:lang w:val="zh-CN"/>
        </w:rPr>
      </w:pPr>
      <w:r>
        <w:rPr>
          <w:rFonts w:hint="eastAsia" w:eastAsia="仿宋" w:cs="仿宋"/>
          <w:sz w:val="32"/>
          <w:szCs w:val="32"/>
          <w:lang w:val="zh-CN"/>
        </w:rPr>
        <w:t>其中“三公”经费支出0.73万元。包括因公出国（境）经费为0，公务用车购置及运行0.26万元，公务接待0.47万元。</w:t>
      </w:r>
    </w:p>
    <w:p>
      <w:pPr>
        <w:widowControl/>
        <w:shd w:val="clear" w:color="auto" w:fill="FFFFFF"/>
        <w:spacing w:before="60" w:after="150" w:line="30" w:lineRule="atLeast"/>
        <w:ind w:firstLine="525"/>
        <w:jc w:val="left"/>
        <w:rPr>
          <w:rFonts w:hint="eastAsia" w:eastAsia="仿宋" w:cs="仿宋"/>
          <w:sz w:val="32"/>
          <w:szCs w:val="32"/>
          <w:lang w:val="zh-CN"/>
        </w:rPr>
      </w:pPr>
      <w:r>
        <w:rPr>
          <w:rFonts w:hint="eastAsia" w:eastAsia="仿宋" w:cs="仿宋"/>
          <w:sz w:val="32"/>
          <w:szCs w:val="32"/>
          <w:lang w:val="zh-CN"/>
        </w:rPr>
        <w:t>4.资本性支出0.41万元。主要用于办公设备的采购。</w:t>
      </w:r>
    </w:p>
    <w:p>
      <w:pPr>
        <w:pStyle w:val="13"/>
        <w:suppressAutoHyphens/>
        <w:spacing w:line="500" w:lineRule="exact"/>
        <w:ind w:firstLine="602" w:firstLineChars="0"/>
        <w:rPr>
          <w:rFonts w:hint="eastAsia" w:ascii="Times New Roman" w:hAnsi="Times New Roman" w:eastAsia="楷体_GB2312" w:cs="Calibri"/>
          <w:b/>
          <w:sz w:val="32"/>
          <w:szCs w:val="32"/>
          <w:lang w:val="zh-CN"/>
        </w:rPr>
      </w:pPr>
      <w:r>
        <w:rPr>
          <w:rFonts w:hint="eastAsia" w:ascii="Times New Roman" w:hAnsi="Times New Roman" w:eastAsia="楷体_GB2312" w:cs="Calibri"/>
          <w:b/>
          <w:sz w:val="32"/>
          <w:szCs w:val="32"/>
        </w:rPr>
        <w:t>(二）</w:t>
      </w:r>
      <w:r>
        <w:rPr>
          <w:rFonts w:hint="eastAsia" w:ascii="Times New Roman" w:hAnsi="Times New Roman" w:eastAsia="楷体_GB2312" w:cs="Calibri"/>
          <w:b/>
          <w:sz w:val="32"/>
          <w:szCs w:val="32"/>
          <w:lang w:val="zh-CN"/>
        </w:rPr>
        <w:t>项目支出情况</w:t>
      </w:r>
    </w:p>
    <w:p>
      <w:pPr>
        <w:widowControl/>
        <w:shd w:val="clear" w:color="auto" w:fill="FFFFFF"/>
        <w:spacing w:before="60" w:after="150" w:line="30" w:lineRule="atLeast"/>
        <w:ind w:firstLine="525"/>
        <w:jc w:val="left"/>
        <w:rPr>
          <w:rFonts w:hint="eastAsia" w:eastAsia="仿宋" w:cs="仿宋"/>
          <w:sz w:val="32"/>
          <w:szCs w:val="32"/>
          <w:lang w:val="zh-CN"/>
        </w:rPr>
      </w:pPr>
      <w:r>
        <w:rPr>
          <w:rFonts w:hint="eastAsia" w:eastAsia="仿宋" w:cs="仿宋"/>
          <w:sz w:val="32"/>
          <w:szCs w:val="32"/>
          <w:lang w:val="zh-CN"/>
        </w:rPr>
        <w:t>2021年全年项目支出预算数为1011.1万元，全年决算数为988.45万元（其中上年结转资金</w:t>
      </w:r>
      <w:r>
        <w:rPr>
          <w:rFonts w:hint="eastAsia" w:eastAsia="仿宋" w:cs="仿宋"/>
          <w:sz w:val="32"/>
          <w:szCs w:val="32"/>
        </w:rPr>
        <w:t>199.6</w:t>
      </w:r>
      <w:r>
        <w:rPr>
          <w:rFonts w:hint="eastAsia" w:eastAsia="仿宋" w:cs="仿宋"/>
          <w:sz w:val="32"/>
          <w:szCs w:val="32"/>
          <w:lang w:val="zh-CN"/>
        </w:rPr>
        <w:t>万元）。具体为：</w:t>
      </w:r>
    </w:p>
    <w:p>
      <w:pPr>
        <w:widowControl/>
        <w:shd w:val="clear" w:color="auto" w:fill="FFFFFF"/>
        <w:spacing w:before="60" w:after="150" w:line="30" w:lineRule="atLeast"/>
        <w:ind w:firstLine="525"/>
        <w:jc w:val="left"/>
        <w:rPr>
          <w:rFonts w:hint="eastAsia" w:eastAsia="仿宋" w:cs="仿宋"/>
          <w:color w:val="333333"/>
          <w:sz w:val="32"/>
          <w:szCs w:val="32"/>
          <w:shd w:val="clear" w:color="auto" w:fill="FFFFFF"/>
          <w:lang w:bidi="ar"/>
        </w:rPr>
      </w:pPr>
      <w:r>
        <w:rPr>
          <w:rFonts w:hint="eastAsia" w:ascii="Times New Roman" w:hAnsi="Times New Roman" w:eastAsia="楷体_GB2312" w:cs="Calibri"/>
          <w:b/>
          <w:sz w:val="32"/>
          <w:szCs w:val="32"/>
        </w:rPr>
        <w:t>1、运行维护经费支出603.56万元，具体为：</w:t>
      </w:r>
    </w:p>
    <w:p>
      <w:pPr>
        <w:widowControl/>
        <w:shd w:val="clear" w:color="auto" w:fill="FFFFFF"/>
        <w:spacing w:before="60" w:after="150" w:line="30" w:lineRule="atLeast"/>
        <w:ind w:firstLine="525"/>
        <w:jc w:val="left"/>
        <w:rPr>
          <w:rFonts w:hint="eastAsia" w:eastAsia="仿宋" w:cs="仿宋"/>
          <w:sz w:val="32"/>
          <w:szCs w:val="32"/>
          <w:lang w:val="zh-CN"/>
        </w:rPr>
      </w:pPr>
      <w:r>
        <w:rPr>
          <w:rFonts w:hint="eastAsia" w:eastAsia="仿宋" w:cs="仿宋"/>
          <w:sz w:val="32"/>
          <w:szCs w:val="32"/>
          <w:lang w:val="zh-CN"/>
        </w:rPr>
        <w:t>（1）湘南起义纪念馆、地方党史陈列馆运行及免费开放支出</w:t>
      </w:r>
      <w:r>
        <w:rPr>
          <w:rFonts w:hint="eastAsia" w:eastAsia="仿宋" w:cs="仿宋"/>
          <w:sz w:val="32"/>
          <w:szCs w:val="32"/>
        </w:rPr>
        <w:t>158.56</w:t>
      </w:r>
      <w:r>
        <w:rPr>
          <w:rFonts w:hint="eastAsia" w:eastAsia="仿宋" w:cs="仿宋"/>
          <w:sz w:val="32"/>
          <w:szCs w:val="32"/>
          <w:lang w:val="zh-CN"/>
        </w:rPr>
        <w:t>万元，主要用于场馆运行及馆内设施与维护支出。</w:t>
      </w:r>
    </w:p>
    <w:p>
      <w:pPr>
        <w:widowControl/>
        <w:shd w:val="clear" w:color="auto" w:fill="FFFFFF"/>
        <w:spacing w:before="60" w:after="150" w:line="30" w:lineRule="atLeast"/>
        <w:ind w:firstLine="525"/>
        <w:jc w:val="left"/>
        <w:rPr>
          <w:rFonts w:hint="eastAsia" w:eastAsia="仿宋" w:cs="仿宋"/>
          <w:sz w:val="32"/>
          <w:szCs w:val="32"/>
          <w:lang w:val="zh-CN"/>
        </w:rPr>
      </w:pPr>
      <w:r>
        <w:rPr>
          <w:rFonts w:hint="eastAsia" w:eastAsia="仿宋" w:cs="仿宋"/>
          <w:sz w:val="32"/>
          <w:szCs w:val="32"/>
          <w:lang w:val="zh-CN"/>
        </w:rPr>
        <w:t>（2）公园管护经费</w:t>
      </w:r>
      <w:r>
        <w:rPr>
          <w:rFonts w:hint="eastAsia" w:eastAsia="仿宋" w:cs="仿宋"/>
          <w:sz w:val="32"/>
          <w:szCs w:val="32"/>
        </w:rPr>
        <w:t>393</w:t>
      </w:r>
      <w:r>
        <w:rPr>
          <w:rFonts w:hint="eastAsia" w:eastAsia="仿宋" w:cs="仿宋"/>
          <w:sz w:val="32"/>
          <w:szCs w:val="32"/>
          <w:lang w:val="zh-CN"/>
        </w:rPr>
        <w:t>万元，主要用于烈士公园红色文化主题公园各项设施维护、森林防火、园林绿化管护、安保、卫生保洁等运维支出。</w:t>
      </w:r>
    </w:p>
    <w:p>
      <w:pPr>
        <w:widowControl/>
        <w:shd w:val="clear" w:color="auto" w:fill="FFFFFF"/>
        <w:spacing w:before="60" w:after="150" w:line="30" w:lineRule="atLeast"/>
        <w:ind w:firstLine="525"/>
        <w:jc w:val="left"/>
        <w:rPr>
          <w:rFonts w:hint="eastAsia" w:eastAsia="仿宋" w:cs="仿宋"/>
          <w:sz w:val="32"/>
          <w:szCs w:val="32"/>
          <w:lang w:val="zh-CN"/>
        </w:rPr>
      </w:pPr>
      <w:r>
        <w:rPr>
          <w:rFonts w:hint="eastAsia" w:eastAsia="仿宋" w:cs="仿宋"/>
          <w:sz w:val="32"/>
          <w:szCs w:val="32"/>
          <w:lang w:val="zh-CN"/>
        </w:rPr>
        <w:t>（3）郴县苏维埃政府旧址-陈家大屋保护运维支出42万元，主要用于旧址红色宣教等临聘讲解人员工资福利、日常运维安保及卫生、私房部分房屋租赁及税金等支出。</w:t>
      </w:r>
    </w:p>
    <w:p>
      <w:pPr>
        <w:widowControl/>
        <w:shd w:val="clear" w:color="auto" w:fill="FFFFFF"/>
        <w:spacing w:before="60" w:after="150" w:line="30" w:lineRule="atLeast"/>
        <w:ind w:firstLine="525"/>
        <w:jc w:val="left"/>
        <w:rPr>
          <w:rFonts w:hint="eastAsia" w:eastAsia="仿宋" w:cs="仿宋"/>
          <w:sz w:val="32"/>
          <w:szCs w:val="32"/>
          <w:lang w:val="zh-CN"/>
        </w:rPr>
      </w:pPr>
      <w:r>
        <w:rPr>
          <w:rFonts w:hint="eastAsia" w:eastAsia="仿宋" w:cs="仿宋"/>
          <w:sz w:val="32"/>
          <w:szCs w:val="32"/>
          <w:lang w:val="zh-CN"/>
        </w:rPr>
        <w:t>（4）清明.祭英烈及9.30国家公祭日经费10万元，主要用于负责全市机关、部队、学校、社会团体及各界人士参加清明及烈士纪念日活动的费用，包括：纪念活动宣教牌、宣教栏、宣教立柱及敬献仪式采购鲜花、花篮、乐队伴奏等现场布置支出。</w:t>
      </w:r>
    </w:p>
    <w:p>
      <w:pPr>
        <w:widowControl/>
        <w:shd w:val="clear" w:color="auto" w:fill="FFFFFF"/>
        <w:spacing w:before="60" w:after="150" w:line="30" w:lineRule="atLeast"/>
        <w:ind w:firstLine="525"/>
        <w:jc w:val="left"/>
        <w:rPr>
          <w:rFonts w:hint="eastAsia" w:eastAsia="仿宋" w:cs="仿宋"/>
          <w:sz w:val="32"/>
          <w:szCs w:val="32"/>
          <w:lang w:val="zh-CN"/>
        </w:rPr>
      </w:pPr>
      <w:r>
        <w:rPr>
          <w:rFonts w:hint="eastAsia" w:ascii="Times New Roman" w:hAnsi="Times New Roman" w:eastAsia="楷体_GB2312" w:cs="Calibri"/>
          <w:b/>
          <w:sz w:val="32"/>
          <w:szCs w:val="32"/>
        </w:rPr>
        <w:t>2、建党100周年庆祝活动经费73.69万元，</w:t>
      </w:r>
      <w:r>
        <w:rPr>
          <w:rFonts w:hint="eastAsia" w:eastAsia="仿宋" w:cs="仿宋"/>
          <w:sz w:val="32"/>
          <w:szCs w:val="32"/>
          <w:lang w:val="zh-CN"/>
        </w:rPr>
        <w:t>主要用于展厅改造、触摸屏购置、图片陈展、对外宣传、红色文物征集、文艺晚会音响舞台租赁等费用支出。</w:t>
      </w:r>
    </w:p>
    <w:p>
      <w:pPr>
        <w:widowControl/>
        <w:shd w:val="clear" w:color="auto" w:fill="FFFFFF"/>
        <w:spacing w:before="60" w:after="150" w:line="30" w:lineRule="atLeast"/>
        <w:ind w:firstLine="525"/>
        <w:jc w:val="left"/>
        <w:rPr>
          <w:rFonts w:hint="eastAsia" w:eastAsia="仿宋" w:cs="仿宋"/>
          <w:sz w:val="32"/>
          <w:szCs w:val="32"/>
          <w:lang w:val="zh-CN"/>
        </w:rPr>
      </w:pPr>
      <w:r>
        <w:rPr>
          <w:rFonts w:hint="eastAsia" w:ascii="Times New Roman" w:hAnsi="Times New Roman" w:eastAsia="楷体_GB2312" w:cs="Calibri"/>
          <w:b/>
          <w:sz w:val="32"/>
          <w:szCs w:val="32"/>
        </w:rPr>
        <w:t>3、湘南起义纪念园提质改造前期经费、红色文化旅游标志标牌和智慧旅游建设工程项目支出89.2万元，</w:t>
      </w:r>
      <w:r>
        <w:rPr>
          <w:rFonts w:hint="eastAsia" w:eastAsia="仿宋" w:cs="仿宋"/>
          <w:sz w:val="32"/>
          <w:szCs w:val="32"/>
          <w:lang w:val="zh-CN"/>
        </w:rPr>
        <w:t>该资金主要用于可研编制费、道路设计费、勘察设计费、集散纪念广场设计费等项目前期费用，以及夏明震烈士纪念碑周围环境整治工程款、游客服务部改造工程款、纪念馆道路导向牌制作安装费等支出。</w:t>
      </w:r>
    </w:p>
    <w:p>
      <w:pPr>
        <w:widowControl/>
        <w:shd w:val="clear" w:color="auto" w:fill="FFFFFF"/>
        <w:spacing w:before="60" w:after="150" w:line="30" w:lineRule="atLeast"/>
        <w:ind w:firstLine="525"/>
        <w:jc w:val="left"/>
        <w:rPr>
          <w:rFonts w:hint="eastAsia" w:eastAsia="仿宋" w:cs="仿宋"/>
          <w:sz w:val="32"/>
          <w:szCs w:val="32"/>
          <w:lang w:val="zh-CN"/>
        </w:rPr>
      </w:pPr>
      <w:r>
        <w:rPr>
          <w:rFonts w:hint="eastAsia" w:ascii="Times New Roman" w:hAnsi="Times New Roman" w:eastAsia="楷体_GB2312" w:cs="Calibri"/>
          <w:b/>
          <w:sz w:val="32"/>
          <w:szCs w:val="32"/>
        </w:rPr>
        <w:t>4、湘南起义旧址-郴县苏维埃政府旧址（陈家大屋）修缮、消防和安防资金130.25万元，</w:t>
      </w:r>
      <w:r>
        <w:rPr>
          <w:rFonts w:hint="eastAsia" w:eastAsia="仿宋" w:cs="仿宋"/>
          <w:sz w:val="32"/>
          <w:szCs w:val="32"/>
          <w:lang w:val="zh-CN"/>
        </w:rPr>
        <w:t>主要用于陈家大屋旧址修缮、消防和安防工程款支出。</w:t>
      </w:r>
    </w:p>
    <w:p>
      <w:pPr>
        <w:widowControl/>
        <w:shd w:val="clear" w:color="auto" w:fill="FFFFFF"/>
        <w:spacing w:before="60" w:after="150" w:line="30" w:lineRule="atLeast"/>
        <w:ind w:firstLine="525"/>
        <w:jc w:val="left"/>
        <w:rPr>
          <w:rFonts w:hint="eastAsia" w:eastAsia="仿宋" w:cs="仿宋"/>
          <w:sz w:val="32"/>
          <w:szCs w:val="32"/>
          <w:lang w:val="zh-CN"/>
        </w:rPr>
      </w:pPr>
      <w:r>
        <w:rPr>
          <w:rFonts w:hint="eastAsia" w:ascii="Times New Roman" w:hAnsi="Times New Roman" w:eastAsia="楷体_GB2312" w:cs="Calibri"/>
          <w:b/>
          <w:sz w:val="32"/>
          <w:szCs w:val="32"/>
        </w:rPr>
        <w:t>5、纪念馆布展及消防资金91.75万元，</w:t>
      </w:r>
      <w:r>
        <w:rPr>
          <w:rFonts w:hint="eastAsia" w:eastAsia="仿宋" w:cs="仿宋"/>
          <w:sz w:val="32"/>
          <w:szCs w:val="32"/>
        </w:rPr>
        <w:t>主要用于纪念馆布展及消防工程支出</w:t>
      </w:r>
      <w:r>
        <w:rPr>
          <w:rFonts w:hint="eastAsia" w:eastAsia="仿宋" w:cs="仿宋"/>
          <w:sz w:val="32"/>
          <w:szCs w:val="32"/>
          <w:lang w:val="zh-CN"/>
        </w:rPr>
        <w:t>。</w:t>
      </w:r>
    </w:p>
    <w:p>
      <w:pPr>
        <w:widowControl/>
        <w:shd w:val="clear" w:color="auto" w:fill="FFFFFF"/>
        <w:spacing w:before="60" w:after="150" w:line="30" w:lineRule="atLeast"/>
        <w:ind w:firstLine="525"/>
        <w:jc w:val="left"/>
        <w:rPr>
          <w:rFonts w:hint="eastAsia" w:eastAsia="仿宋" w:cs="仿宋"/>
          <w:color w:val="333333"/>
          <w:sz w:val="32"/>
          <w:szCs w:val="32"/>
          <w:shd w:val="clear" w:color="auto" w:fill="FFFFFF"/>
          <w:lang w:bidi="ar"/>
        </w:rPr>
      </w:pPr>
    </w:p>
    <w:p>
      <w:pPr>
        <w:widowControl/>
        <w:shd w:val="clear" w:color="auto" w:fill="FFFFFF"/>
        <w:spacing w:before="60" w:after="150" w:line="30" w:lineRule="atLeast"/>
        <w:ind w:firstLine="525"/>
        <w:jc w:val="left"/>
        <w:rPr>
          <w:rFonts w:hint="eastAsia" w:ascii="黑体" w:hAnsi="黑体" w:eastAsia="黑体" w:cs="黑体"/>
          <w:b/>
          <w:sz w:val="32"/>
          <w:szCs w:val="32"/>
          <w:lang w:val="zh-CN"/>
        </w:rPr>
      </w:pPr>
      <w:r>
        <w:rPr>
          <w:rFonts w:hint="eastAsia" w:ascii="黑体" w:hAnsi="黑体" w:eastAsia="黑体" w:cs="黑体"/>
          <w:b/>
          <w:sz w:val="32"/>
          <w:szCs w:val="32"/>
          <w:lang w:val="zh-CN"/>
        </w:rPr>
        <w:t>三、政府性基金预算支出情况</w:t>
      </w:r>
    </w:p>
    <w:p>
      <w:pPr>
        <w:widowControl/>
        <w:shd w:val="clear" w:color="auto" w:fill="FFFFFF"/>
        <w:spacing w:before="60" w:after="150" w:line="30" w:lineRule="atLeast"/>
        <w:ind w:firstLine="525"/>
        <w:jc w:val="left"/>
        <w:rPr>
          <w:rFonts w:hint="eastAsia" w:eastAsia="仿宋" w:cs="仿宋"/>
          <w:sz w:val="32"/>
          <w:szCs w:val="32"/>
        </w:rPr>
      </w:pPr>
      <w:r>
        <w:rPr>
          <w:rFonts w:hint="eastAsia" w:eastAsia="仿宋" w:cs="仿宋"/>
          <w:sz w:val="32"/>
          <w:szCs w:val="32"/>
        </w:rPr>
        <w:t>2021年度本单位未安排政府性基金预算，无政府性基金预算支出。</w:t>
      </w:r>
    </w:p>
    <w:p>
      <w:pPr>
        <w:widowControl/>
        <w:shd w:val="clear" w:color="auto" w:fill="FFFFFF"/>
        <w:spacing w:before="60" w:after="150" w:line="30" w:lineRule="atLeast"/>
        <w:ind w:firstLine="525"/>
        <w:jc w:val="left"/>
        <w:rPr>
          <w:rFonts w:hint="eastAsia" w:ascii="黑体" w:hAnsi="黑体" w:eastAsia="黑体" w:cs="黑体"/>
          <w:b/>
          <w:sz w:val="32"/>
          <w:szCs w:val="32"/>
          <w:lang w:val="zh-CN"/>
        </w:rPr>
      </w:pPr>
      <w:r>
        <w:rPr>
          <w:rFonts w:hint="eastAsia" w:ascii="黑体" w:hAnsi="黑体" w:eastAsia="黑体" w:cs="黑体"/>
          <w:b/>
          <w:sz w:val="32"/>
          <w:szCs w:val="32"/>
          <w:lang w:val="zh-CN"/>
        </w:rPr>
        <w:t>四、国有资本经营预算支出情况</w:t>
      </w:r>
    </w:p>
    <w:p>
      <w:pPr>
        <w:widowControl/>
        <w:shd w:val="clear" w:color="auto" w:fill="FFFFFF"/>
        <w:spacing w:before="60" w:after="150" w:line="30" w:lineRule="atLeast"/>
        <w:ind w:firstLine="525"/>
        <w:jc w:val="left"/>
        <w:rPr>
          <w:rFonts w:hint="eastAsia" w:eastAsia="仿宋" w:cs="仿宋"/>
          <w:sz w:val="32"/>
          <w:szCs w:val="32"/>
          <w:lang w:val="zh-CN"/>
        </w:rPr>
      </w:pPr>
      <w:r>
        <w:rPr>
          <w:rFonts w:hint="eastAsia" w:eastAsia="仿宋" w:cs="仿宋"/>
          <w:sz w:val="32"/>
          <w:szCs w:val="32"/>
        </w:rPr>
        <w:t>2021年度本单位未安排国有资本经营预算，无国有资本经营预算支出。</w:t>
      </w:r>
    </w:p>
    <w:p>
      <w:pPr>
        <w:widowControl/>
        <w:shd w:val="clear" w:color="auto" w:fill="FFFFFF"/>
        <w:spacing w:before="60" w:after="150" w:line="30" w:lineRule="atLeast"/>
        <w:ind w:firstLine="525"/>
        <w:jc w:val="left"/>
        <w:rPr>
          <w:rFonts w:hint="eastAsia" w:ascii="黑体" w:hAnsi="黑体" w:eastAsia="黑体" w:cs="黑体"/>
          <w:b/>
          <w:bCs/>
          <w:sz w:val="32"/>
          <w:szCs w:val="32"/>
        </w:rPr>
      </w:pPr>
      <w:r>
        <w:rPr>
          <w:rFonts w:hint="eastAsia" w:ascii="黑体" w:hAnsi="黑体" w:eastAsia="黑体" w:cs="黑体"/>
          <w:b/>
          <w:bCs/>
          <w:sz w:val="32"/>
          <w:szCs w:val="32"/>
        </w:rPr>
        <w:t>五、社会保险基金预算支出情况</w:t>
      </w:r>
    </w:p>
    <w:p>
      <w:pPr>
        <w:widowControl/>
        <w:shd w:val="clear" w:color="auto" w:fill="FFFFFF"/>
        <w:spacing w:before="60" w:after="150" w:line="30" w:lineRule="atLeast"/>
        <w:ind w:firstLine="525"/>
        <w:jc w:val="left"/>
        <w:rPr>
          <w:rFonts w:hint="eastAsia" w:eastAsia="仿宋" w:cs="仿宋"/>
          <w:sz w:val="32"/>
          <w:szCs w:val="32"/>
        </w:rPr>
      </w:pPr>
      <w:r>
        <w:rPr>
          <w:rFonts w:hint="eastAsia" w:eastAsia="仿宋" w:cs="仿宋"/>
          <w:sz w:val="32"/>
          <w:szCs w:val="32"/>
        </w:rPr>
        <w:t>2021年度本单位未安排社会保险基金预算，无社会保险基金预算支出。</w:t>
      </w:r>
    </w:p>
    <w:p>
      <w:pPr>
        <w:widowControl/>
        <w:shd w:val="clear" w:color="auto" w:fill="FFFFFF"/>
        <w:spacing w:before="60" w:after="150" w:line="30" w:lineRule="atLeast"/>
        <w:ind w:firstLine="525"/>
        <w:jc w:val="left"/>
        <w:rPr>
          <w:rFonts w:hint="eastAsia" w:ascii="黑体" w:hAnsi="黑体" w:eastAsia="黑体" w:cs="黑体"/>
          <w:b/>
          <w:sz w:val="32"/>
          <w:szCs w:val="32"/>
          <w:lang w:val="zh-CN"/>
        </w:rPr>
      </w:pPr>
      <w:r>
        <w:rPr>
          <w:rFonts w:hint="eastAsia" w:ascii="黑体" w:hAnsi="黑体" w:eastAsia="黑体" w:cs="黑体"/>
          <w:b/>
          <w:sz w:val="32"/>
          <w:szCs w:val="32"/>
          <w:lang w:val="zh-CN"/>
        </w:rPr>
        <w:t>六、部门整体支出绩效情况</w:t>
      </w:r>
    </w:p>
    <w:p>
      <w:pPr>
        <w:widowControl/>
        <w:shd w:val="clear" w:color="auto" w:fill="FFFFFF"/>
        <w:spacing w:before="60" w:after="150" w:line="30" w:lineRule="atLeast"/>
        <w:ind w:firstLine="525"/>
        <w:jc w:val="left"/>
        <w:rPr>
          <w:rFonts w:hint="eastAsia" w:eastAsia="仿宋" w:cs="仿宋"/>
          <w:sz w:val="32"/>
          <w:szCs w:val="32"/>
          <w:lang w:val="zh-CN"/>
        </w:rPr>
      </w:pPr>
      <w:r>
        <w:rPr>
          <w:rFonts w:hint="eastAsia" w:eastAsia="仿宋" w:cs="仿宋"/>
          <w:sz w:val="32"/>
          <w:szCs w:val="32"/>
          <w:lang w:val="zh-CN"/>
        </w:rPr>
        <w:t>20</w:t>
      </w:r>
      <w:r>
        <w:rPr>
          <w:rFonts w:hint="eastAsia" w:eastAsia="仿宋" w:cs="仿宋"/>
          <w:sz w:val="32"/>
          <w:szCs w:val="32"/>
        </w:rPr>
        <w:t>21</w:t>
      </w:r>
      <w:r>
        <w:rPr>
          <w:rFonts w:hint="eastAsia" w:eastAsia="仿宋" w:cs="仿宋"/>
          <w:sz w:val="32"/>
          <w:szCs w:val="32"/>
          <w:lang w:val="zh-CN"/>
        </w:rPr>
        <w:t>年，在市委、市政府的高度重视和市文化旅游广电体育局的正确领导下，郴州市烈士公园（湘南起义纪念馆）以爱国主义宣教为重点，坚持“服务党委政府，服务社会大众”两大方向，扎实推进纪念馆爱国主义教育基地免费开放、未成年人思想道德教育等工作，不断推动红色文化旅游发展，今年</w:t>
      </w:r>
      <w:r>
        <w:rPr>
          <w:rFonts w:hint="eastAsia" w:eastAsia="仿宋" w:cs="仿宋"/>
          <w:sz w:val="32"/>
          <w:szCs w:val="32"/>
        </w:rPr>
        <w:t>纪念馆被评为湖南省社科普及基地优秀单位。</w:t>
      </w:r>
      <w:r>
        <w:rPr>
          <w:rFonts w:hint="eastAsia" w:eastAsia="仿宋" w:cs="仿宋"/>
          <w:sz w:val="32"/>
          <w:szCs w:val="32"/>
          <w:lang w:val="zh-CN"/>
        </w:rPr>
        <w:t>，较好地发挥了作为爱国主义教育基地平台开展广泛宣传、展示先进文化的作用，圆满完成了各项工作任务，履职履责效益情况较好，具体情况如下：</w:t>
      </w:r>
    </w:p>
    <w:p>
      <w:pPr>
        <w:pStyle w:val="13"/>
        <w:suppressAutoHyphens/>
        <w:spacing w:line="500" w:lineRule="exact"/>
        <w:ind w:firstLine="602" w:firstLineChars="0"/>
        <w:rPr>
          <w:rFonts w:hint="eastAsia" w:ascii="Times New Roman" w:hAnsi="Times New Roman" w:eastAsia="楷体_GB2312" w:cs="Calibri"/>
          <w:b/>
          <w:sz w:val="32"/>
          <w:szCs w:val="32"/>
          <w:lang w:val="zh-CN"/>
        </w:rPr>
      </w:pPr>
      <w:r>
        <w:rPr>
          <w:rFonts w:hint="eastAsia" w:ascii="Times New Roman" w:hAnsi="Times New Roman" w:eastAsia="楷体_GB2312" w:cs="Calibri"/>
          <w:b/>
          <w:sz w:val="32"/>
          <w:szCs w:val="32"/>
          <w:lang w:val="zh-CN"/>
        </w:rPr>
        <w:t>（一）绩效目标完成情况</w:t>
      </w:r>
    </w:p>
    <w:p>
      <w:pPr>
        <w:widowControl/>
        <w:shd w:val="clear" w:color="auto" w:fill="FFFFFF"/>
        <w:spacing w:before="60" w:after="150" w:line="30" w:lineRule="atLeast"/>
        <w:ind w:firstLine="525"/>
        <w:jc w:val="left"/>
        <w:rPr>
          <w:rFonts w:hint="eastAsia" w:eastAsia="仿宋" w:cs="仿宋"/>
          <w:sz w:val="32"/>
          <w:szCs w:val="32"/>
          <w:lang w:val="zh-CN"/>
        </w:rPr>
      </w:pPr>
      <w:r>
        <w:rPr>
          <w:rFonts w:hint="eastAsia" w:ascii="Times New Roman" w:hAnsi="Times New Roman" w:eastAsia="楷体_GB2312" w:cs="Calibri"/>
          <w:b/>
          <w:sz w:val="32"/>
          <w:szCs w:val="32"/>
          <w:lang w:val="zh-CN"/>
        </w:rPr>
        <w:t>1、完成公园辖区内600余亩设施设备管护工作。</w:t>
      </w:r>
      <w:r>
        <w:rPr>
          <w:rFonts w:hint="eastAsia" w:eastAsia="仿宋" w:cs="仿宋"/>
          <w:sz w:val="32"/>
          <w:szCs w:val="32"/>
          <w:lang w:val="zh-CN"/>
        </w:rPr>
        <w:t>包括园林绿化、抗旱浇水、森林防火、安保卫生等公共基础设施管护，其中：纪念馆、纪念塔、纪念亭、烈士英名长廊等纪念设施管护面积7396平方米；道路、游道、踏步、广场、公厕等基础设施管护面积62629.3平方米；绿化带管护面积35938平方米，新增绿化面积5200㎡，完成夏明震烈士纪念碑重建并恢复周边绿化工作。</w:t>
      </w:r>
    </w:p>
    <w:p>
      <w:pPr>
        <w:widowControl/>
        <w:shd w:val="clear" w:color="auto" w:fill="FFFFFF"/>
        <w:spacing w:before="60" w:after="150" w:line="30" w:lineRule="atLeast"/>
        <w:ind w:firstLine="525"/>
        <w:jc w:val="left"/>
        <w:rPr>
          <w:rFonts w:hint="eastAsia" w:eastAsia="仿宋" w:cs="仿宋"/>
          <w:sz w:val="32"/>
          <w:szCs w:val="32"/>
          <w:lang w:val="zh-CN"/>
        </w:rPr>
      </w:pPr>
      <w:r>
        <w:rPr>
          <w:rFonts w:hint="eastAsia" w:eastAsia="仿宋" w:cs="仿宋"/>
          <w:sz w:val="32"/>
          <w:szCs w:val="32"/>
          <w:lang w:val="zh-CN"/>
        </w:rPr>
        <w:t>对园区内113个垃圾箱及时进行维修更换，提高保洁率；对园区内1607盏亮化灯、138盏道路路灯及时维护，亮化率达98%；对园区内共计58个蹲位5座公厕进行卫生保洁和维护，取得了良好的生态效益、环境效益和社会效益，得到了广大市民游客的广泛好评。</w:t>
      </w:r>
    </w:p>
    <w:p>
      <w:pPr>
        <w:widowControl/>
        <w:shd w:val="clear" w:color="auto" w:fill="FFFFFF"/>
        <w:spacing w:before="60" w:after="150" w:line="30" w:lineRule="atLeast"/>
        <w:ind w:firstLine="525"/>
        <w:jc w:val="left"/>
        <w:rPr>
          <w:rFonts w:hint="eastAsia" w:eastAsia="仿宋" w:cs="仿宋"/>
          <w:sz w:val="32"/>
          <w:szCs w:val="32"/>
          <w:lang w:val="zh-CN"/>
        </w:rPr>
      </w:pPr>
      <w:r>
        <w:rPr>
          <w:rFonts w:hint="eastAsia" w:ascii="Times New Roman" w:hAnsi="Times New Roman" w:eastAsia="楷体_GB2312" w:cs="Calibri"/>
          <w:b/>
          <w:sz w:val="32"/>
          <w:szCs w:val="32"/>
          <w:lang w:val="zh-CN"/>
        </w:rPr>
        <w:t>2、开展红色文化传承爱教纪念活动，</w:t>
      </w:r>
      <w:r>
        <w:rPr>
          <w:rFonts w:hint="eastAsia" w:eastAsia="仿宋" w:cs="仿宋"/>
          <w:sz w:val="32"/>
          <w:szCs w:val="32"/>
          <w:lang w:val="zh-CN"/>
        </w:rPr>
        <w:t>全年免费开放接待上级领导、市直各单位、部队、学校、社区及参观学习的团队游客700余批次，讲解1000余场次，免费接待参观人数约20余万人次（其中纪念馆10余万人次，烈士公园10余万人次），开展各种红色文化传承教育活动百余场次，举办活动和讲解等服务收费30余万元。</w:t>
      </w:r>
    </w:p>
    <w:p>
      <w:pPr>
        <w:widowControl/>
        <w:shd w:val="clear" w:color="auto" w:fill="FFFFFF"/>
        <w:spacing w:before="60" w:after="150" w:line="30" w:lineRule="atLeast"/>
        <w:ind w:firstLine="525"/>
        <w:jc w:val="left"/>
        <w:rPr>
          <w:rFonts w:hint="eastAsia" w:eastAsia="仿宋" w:cs="仿宋"/>
          <w:sz w:val="32"/>
          <w:szCs w:val="32"/>
          <w:lang w:val="zh-CN"/>
        </w:rPr>
      </w:pPr>
      <w:r>
        <w:rPr>
          <w:rFonts w:hint="eastAsia" w:ascii="Times New Roman" w:hAnsi="Times New Roman" w:eastAsia="楷体_GB2312" w:cs="Calibri"/>
          <w:b/>
          <w:sz w:val="32"/>
          <w:szCs w:val="32"/>
          <w:lang w:val="zh-CN"/>
        </w:rPr>
        <w:t>3、开展传承红色基因，发扬革命传统教育活动</w:t>
      </w:r>
      <w:r>
        <w:rPr>
          <w:rFonts w:hint="eastAsia" w:eastAsia="仿宋" w:cs="仿宋"/>
          <w:color w:val="333333"/>
          <w:sz w:val="32"/>
          <w:szCs w:val="32"/>
          <w:shd w:val="clear" w:color="auto" w:fill="FFFFFF"/>
          <w:lang w:val="zh-CN" w:bidi="ar"/>
        </w:rPr>
        <w:t>，</w:t>
      </w:r>
      <w:r>
        <w:rPr>
          <w:rFonts w:hint="eastAsia" w:eastAsia="仿宋" w:cs="仿宋"/>
          <w:sz w:val="32"/>
          <w:szCs w:val="32"/>
          <w:lang w:val="zh-CN"/>
        </w:rPr>
        <w:t>走进部队、学校，将湘南起义革命军史、国史和国防知识图片巡展到城区各校；依托活动服务场所免费进行讲解，开展学雷锋志愿服务活动，充分发挥了爱国主义宣教基地职能。</w:t>
      </w:r>
    </w:p>
    <w:p>
      <w:pPr>
        <w:widowControl/>
        <w:shd w:val="clear" w:color="auto" w:fill="FFFFFF"/>
        <w:spacing w:before="60" w:after="150" w:line="30" w:lineRule="atLeast"/>
        <w:ind w:firstLine="525"/>
        <w:jc w:val="left"/>
        <w:rPr>
          <w:rFonts w:hint="eastAsia" w:eastAsia="仿宋" w:cs="仿宋"/>
          <w:sz w:val="32"/>
          <w:szCs w:val="32"/>
          <w:lang w:val="zh-CN"/>
        </w:rPr>
      </w:pPr>
      <w:r>
        <w:rPr>
          <w:rFonts w:hint="eastAsia" w:eastAsia="仿宋" w:cs="仿宋"/>
          <w:sz w:val="32"/>
          <w:szCs w:val="32"/>
          <w:lang w:val="zh-CN"/>
        </w:rPr>
        <w:t>2021年，是中国共产党成立100周年，湘南起义纪念馆举办了中国共产党郴州百年党史图片陈列专题展，为广大的观众展示中国共产党从诞生到发展壮大的光辉历程和宝贵经验，讴歌建党百年来艰苦卓绝的奋斗历程和伟大成就历史图片。此外还举办了中国共产党百年图片巡展、郴州优秀美术作品展、“红色中国”革命文物专题图片展三场，并通过庆祝建党百年大型展览，进学校、社区，为群众办实事办好事，参观人数达3万余人。组织师生到湘南起义纪念馆开展红色研学活动。承办郴州“永远跟党走”庆祝中国共产党成立100周年群众性主题文艺演出4场。</w:t>
      </w:r>
    </w:p>
    <w:p>
      <w:pPr>
        <w:widowControl/>
        <w:shd w:val="clear" w:color="auto" w:fill="FFFFFF"/>
        <w:spacing w:before="60" w:after="150" w:line="30" w:lineRule="atLeast"/>
        <w:ind w:firstLine="525"/>
        <w:jc w:val="left"/>
        <w:rPr>
          <w:rFonts w:hint="eastAsia" w:eastAsia="仿宋" w:cs="仿宋"/>
          <w:sz w:val="32"/>
          <w:szCs w:val="32"/>
          <w:lang w:val="zh-CN"/>
        </w:rPr>
      </w:pPr>
      <w:r>
        <w:rPr>
          <w:rFonts w:hint="eastAsia" w:ascii="Times New Roman" w:hAnsi="Times New Roman" w:eastAsia="楷体_GB2312" w:cs="Calibri"/>
          <w:b/>
          <w:sz w:val="32"/>
          <w:szCs w:val="32"/>
          <w:lang w:val="zh-CN"/>
        </w:rPr>
        <w:t>4、开展未成年人思想道德教育活动。</w:t>
      </w:r>
      <w:r>
        <w:rPr>
          <w:rFonts w:hint="eastAsia" w:eastAsia="仿宋" w:cs="仿宋"/>
          <w:sz w:val="32"/>
          <w:szCs w:val="32"/>
          <w:lang w:val="zh-CN"/>
        </w:rPr>
        <w:t>在清明节期间，免费接待各校师生在湘南起义纪念塔开展缅怀祭奠革命先烈活动，以敬献鲜花、集体追思等方式来表达对革命先烈的缅怀之情。9月30日又通过市文化旅游广电体育局、退役军人事务局和郴州市文明办等单位在湘南起义纪念塔前举办了“9•30国家公祭日”活动，通过开展“清明•祭英烈及9•30国家公祭日”系列活动。让人民永远铭记为民族独立和人民解放、国家富强和人民幸福做出巨大贡献和牺牲的英雄烈士，进一步弘扬英烈精神。</w:t>
      </w:r>
    </w:p>
    <w:p>
      <w:pPr>
        <w:widowControl/>
        <w:shd w:val="clear" w:color="auto" w:fill="FFFFFF"/>
        <w:spacing w:before="60" w:after="150" w:line="30" w:lineRule="atLeast"/>
        <w:ind w:firstLine="525"/>
        <w:jc w:val="left"/>
        <w:rPr>
          <w:rFonts w:hint="eastAsia" w:eastAsia="仿宋" w:cs="仿宋"/>
          <w:sz w:val="32"/>
          <w:szCs w:val="32"/>
          <w:lang w:val="zh-CN"/>
        </w:rPr>
      </w:pPr>
      <w:r>
        <w:rPr>
          <w:rFonts w:hint="eastAsia" w:ascii="Times New Roman" w:hAnsi="Times New Roman" w:eastAsia="楷体_GB2312" w:cs="Calibri"/>
          <w:b/>
          <w:sz w:val="32"/>
          <w:szCs w:val="32"/>
          <w:lang w:val="zh-CN"/>
        </w:rPr>
        <w:t>5、健全公共服务制度。</w:t>
      </w:r>
      <w:r>
        <w:rPr>
          <w:rFonts w:hint="eastAsia" w:eastAsia="仿宋" w:cs="仿宋"/>
          <w:sz w:val="32"/>
          <w:szCs w:val="32"/>
          <w:lang w:val="zh-CN"/>
        </w:rPr>
        <w:t>完善了免费接待服务工作体制，对有需要的群众给予帮助，对不文明的行为进行劝导，全面提升服务水平。</w:t>
      </w:r>
    </w:p>
    <w:p>
      <w:pPr>
        <w:widowControl/>
        <w:shd w:val="clear" w:color="auto" w:fill="FFFFFF"/>
        <w:spacing w:before="60" w:after="150" w:line="30" w:lineRule="atLeast"/>
        <w:ind w:firstLine="525"/>
        <w:jc w:val="left"/>
        <w:rPr>
          <w:rFonts w:hint="eastAsia" w:ascii="楷体" w:hAnsi="楷体" w:eastAsia="楷体" w:cs="楷体"/>
          <w:b/>
          <w:bCs/>
          <w:color w:val="333333"/>
          <w:sz w:val="32"/>
          <w:szCs w:val="32"/>
          <w:shd w:val="clear" w:color="auto" w:fill="FFFFFF"/>
          <w:lang w:val="zh-CN" w:bidi="ar"/>
        </w:rPr>
      </w:pPr>
      <w:r>
        <w:rPr>
          <w:rFonts w:hint="eastAsia" w:ascii="Times New Roman" w:hAnsi="Times New Roman" w:eastAsia="楷体_GB2312" w:cs="Calibri"/>
          <w:b/>
          <w:sz w:val="32"/>
          <w:szCs w:val="32"/>
          <w:lang w:val="zh-CN"/>
        </w:rPr>
        <w:t>（二）绩效目标效益情况</w:t>
      </w:r>
    </w:p>
    <w:p>
      <w:pPr>
        <w:widowControl/>
        <w:shd w:val="clear" w:color="auto" w:fill="FFFFFF"/>
        <w:spacing w:before="60" w:after="150" w:line="30" w:lineRule="atLeast"/>
        <w:ind w:firstLine="525"/>
        <w:jc w:val="left"/>
        <w:rPr>
          <w:rFonts w:hint="eastAsia" w:eastAsia="仿宋" w:cs="仿宋"/>
          <w:sz w:val="32"/>
          <w:szCs w:val="32"/>
          <w:lang w:val="zh-CN"/>
        </w:rPr>
      </w:pPr>
      <w:r>
        <w:rPr>
          <w:rFonts w:hint="eastAsia" w:eastAsia="仿宋" w:cs="仿宋"/>
          <w:sz w:val="32"/>
          <w:szCs w:val="32"/>
          <w:lang w:val="zh-CN"/>
        </w:rPr>
        <w:t>通过加强管理工作和开展系列宣教活动，部门整体目标达到</w:t>
      </w:r>
      <w:r>
        <w:rPr>
          <w:rFonts w:hint="eastAsia" w:eastAsia="仿宋" w:cs="仿宋"/>
          <w:color w:val="333333"/>
          <w:sz w:val="32"/>
          <w:szCs w:val="32"/>
          <w:shd w:val="clear" w:color="auto" w:fill="FFFFFF"/>
          <w:lang w:val="zh-CN" w:bidi="ar"/>
        </w:rPr>
        <w:t>预期：</w:t>
      </w:r>
      <w:r>
        <w:rPr>
          <w:rFonts w:hint="eastAsia" w:ascii="Times New Roman" w:hAnsi="Times New Roman" w:eastAsia="楷体_GB2312" w:cs="Calibri"/>
          <w:b/>
          <w:sz w:val="32"/>
          <w:szCs w:val="32"/>
          <w:lang w:val="zh-CN"/>
        </w:rPr>
        <w:t>1、整合了郴州市湘南起义红色文化遗产资源，</w:t>
      </w:r>
      <w:r>
        <w:rPr>
          <w:rFonts w:hint="eastAsia" w:eastAsia="仿宋" w:cs="仿宋"/>
          <w:sz w:val="32"/>
          <w:szCs w:val="32"/>
          <w:lang w:val="zh-CN"/>
        </w:rPr>
        <w:t>充分发挥湘南起义旧址群、湘南起义纪念馆、郴州市烈士公园宣传和传播先进文化的重要作用，加快了公共文化服务体系建设和公民思想道德建设；</w:t>
      </w:r>
    </w:p>
    <w:p>
      <w:pPr>
        <w:widowControl/>
        <w:shd w:val="clear" w:color="auto" w:fill="FFFFFF"/>
        <w:spacing w:before="60" w:after="150" w:line="30" w:lineRule="atLeast"/>
        <w:ind w:firstLine="525"/>
        <w:jc w:val="left"/>
        <w:rPr>
          <w:rFonts w:hint="eastAsia" w:eastAsia="仿宋" w:cs="仿宋"/>
          <w:sz w:val="32"/>
          <w:szCs w:val="32"/>
          <w:lang w:val="zh-CN"/>
        </w:rPr>
      </w:pPr>
      <w:r>
        <w:rPr>
          <w:rFonts w:hint="eastAsia" w:ascii="Times New Roman" w:hAnsi="Times New Roman" w:eastAsia="楷体_GB2312" w:cs="Calibri"/>
          <w:b/>
          <w:sz w:val="32"/>
          <w:szCs w:val="32"/>
          <w:lang w:val="zh-CN"/>
        </w:rPr>
        <w:t>2、加快了市烈士公园园林绿化景观建设，</w:t>
      </w:r>
      <w:r>
        <w:rPr>
          <w:rFonts w:hint="eastAsia" w:eastAsia="仿宋" w:cs="仿宋"/>
          <w:sz w:val="32"/>
          <w:szCs w:val="32"/>
          <w:lang w:val="zh-CN"/>
        </w:rPr>
        <w:t>提升城市人居环境，为市民提供良好的健身锻炼休闲场所；</w:t>
      </w:r>
    </w:p>
    <w:p>
      <w:pPr>
        <w:widowControl/>
        <w:shd w:val="clear" w:color="auto" w:fill="FFFFFF"/>
        <w:spacing w:before="60" w:after="150" w:line="30" w:lineRule="atLeast"/>
        <w:ind w:firstLine="525"/>
        <w:jc w:val="left"/>
        <w:rPr>
          <w:rFonts w:hint="eastAsia" w:eastAsia="仿宋" w:cs="仿宋"/>
          <w:sz w:val="32"/>
          <w:szCs w:val="32"/>
          <w:lang w:val="zh-CN"/>
        </w:rPr>
      </w:pPr>
      <w:r>
        <w:rPr>
          <w:rFonts w:hint="eastAsia" w:ascii="Times New Roman" w:hAnsi="Times New Roman" w:eastAsia="楷体_GB2312" w:cs="Calibri"/>
          <w:b/>
          <w:sz w:val="32"/>
          <w:szCs w:val="32"/>
          <w:lang w:val="zh-CN"/>
        </w:rPr>
        <w:t>3、以红色教育为主要内容，</w:t>
      </w:r>
      <w:r>
        <w:rPr>
          <w:rFonts w:hint="eastAsia" w:eastAsia="仿宋" w:cs="仿宋"/>
          <w:sz w:val="32"/>
          <w:szCs w:val="32"/>
          <w:lang w:val="zh-CN"/>
        </w:rPr>
        <w:t>开展爱国主义教育和革命传统教育、红色旅游等工作，打响红色文化主题公园品牌，大大提升了我园红色文化主题公园影响力，教育后人牢记历史，不忘先烈，取得了良好的社会效益。</w:t>
      </w:r>
    </w:p>
    <w:p>
      <w:pPr>
        <w:spacing w:line="30" w:lineRule="atLeast"/>
        <w:ind w:firstLine="480" w:firstLineChars="200"/>
        <w:rPr>
          <w:rFonts w:hint="eastAsia" w:ascii="宋体" w:hAnsi="宋体" w:cs="宋体"/>
          <w:color w:val="333333"/>
          <w:sz w:val="24"/>
          <w:shd w:val="clear" w:color="auto" w:fill="FFFFFF"/>
          <w:lang w:bidi="ar"/>
        </w:rPr>
      </w:pPr>
    </w:p>
    <w:p>
      <w:pPr>
        <w:widowControl/>
        <w:shd w:val="clear" w:color="auto" w:fill="FFFFFF"/>
        <w:spacing w:before="60" w:after="150" w:line="30" w:lineRule="atLeast"/>
        <w:ind w:firstLine="525"/>
        <w:jc w:val="left"/>
        <w:rPr>
          <w:rFonts w:hint="eastAsia" w:ascii="黑体" w:hAnsi="黑体" w:eastAsia="黑体" w:cs="黑体"/>
          <w:b/>
          <w:sz w:val="32"/>
          <w:szCs w:val="32"/>
          <w:lang w:val="zh-CN"/>
        </w:rPr>
      </w:pPr>
      <w:r>
        <w:rPr>
          <w:rFonts w:hint="eastAsia" w:ascii="黑体" w:hAnsi="黑体" w:eastAsia="黑体" w:cs="黑体"/>
          <w:b/>
          <w:sz w:val="32"/>
          <w:szCs w:val="32"/>
          <w:lang w:val="zh-CN"/>
        </w:rPr>
        <w:t>七、存在的问题及原因分析</w:t>
      </w:r>
    </w:p>
    <w:p>
      <w:pPr>
        <w:widowControl/>
        <w:shd w:val="clear" w:color="auto" w:fill="FFFFFF"/>
        <w:spacing w:before="60" w:after="150" w:line="30" w:lineRule="atLeast"/>
        <w:ind w:firstLine="525"/>
        <w:jc w:val="left"/>
        <w:rPr>
          <w:rFonts w:hint="eastAsia" w:eastAsia="仿宋" w:cs="仿宋"/>
          <w:sz w:val="32"/>
          <w:szCs w:val="32"/>
          <w:lang w:val="zh-CN"/>
        </w:rPr>
      </w:pPr>
      <w:r>
        <w:rPr>
          <w:rFonts w:hint="eastAsia" w:eastAsia="仿宋" w:cs="仿宋"/>
          <w:sz w:val="32"/>
          <w:szCs w:val="32"/>
          <w:lang w:val="zh-CN"/>
        </w:rPr>
        <w:t>（一）对绩效评价工作的重视程度不够。一是单位部分领导及工作人员对绩效评价不了解，对单位绩效不够重视，简单地将绩效评价等同于审计评价，二是我单位绩效评价虽然覆盖了所有财政资金，但大部分工作都是由财务部门完成，业务部门参与度不高，可能导致评价指标、标准设计不合理，评价结果出现偏差。</w:t>
      </w:r>
    </w:p>
    <w:p>
      <w:pPr>
        <w:widowControl/>
        <w:shd w:val="clear" w:color="auto" w:fill="FFFFFF"/>
        <w:spacing w:before="60" w:after="150" w:line="30" w:lineRule="atLeast"/>
        <w:ind w:firstLine="525"/>
        <w:jc w:val="left"/>
        <w:rPr>
          <w:rFonts w:hint="eastAsia" w:eastAsia="仿宋" w:cs="仿宋"/>
          <w:sz w:val="32"/>
          <w:szCs w:val="32"/>
          <w:lang w:val="zh-CN"/>
        </w:rPr>
      </w:pPr>
      <w:r>
        <w:rPr>
          <w:rFonts w:hint="eastAsia" w:eastAsia="仿宋" w:cs="仿宋"/>
          <w:sz w:val="32"/>
          <w:szCs w:val="32"/>
          <w:lang w:val="zh-CN"/>
        </w:rPr>
        <w:t>（二）资产管理不够精细。在管理过程中仍存在一些问题，如闲置资产的管理及重新使用；各股室之间资产的合理调换以及资产流动过程中的跟踪管理等。</w:t>
      </w:r>
    </w:p>
    <w:p>
      <w:pPr>
        <w:widowControl/>
        <w:shd w:val="clear" w:color="auto" w:fill="FFFFFF"/>
        <w:spacing w:before="60" w:after="150" w:line="30" w:lineRule="atLeast"/>
        <w:ind w:firstLine="525"/>
        <w:jc w:val="left"/>
        <w:rPr>
          <w:rFonts w:hint="eastAsia" w:eastAsia="仿宋" w:cs="仿宋"/>
          <w:sz w:val="32"/>
          <w:szCs w:val="32"/>
          <w:lang w:val="zh-CN"/>
        </w:rPr>
      </w:pPr>
    </w:p>
    <w:p>
      <w:pPr>
        <w:widowControl/>
        <w:shd w:val="clear" w:color="auto" w:fill="FFFFFF"/>
        <w:spacing w:before="60" w:after="150" w:line="30" w:lineRule="atLeast"/>
        <w:ind w:firstLine="525"/>
        <w:jc w:val="left"/>
        <w:rPr>
          <w:rFonts w:hint="eastAsia" w:ascii="黑体" w:hAnsi="黑体" w:eastAsia="黑体" w:cs="黑体"/>
          <w:b/>
          <w:bCs/>
          <w:sz w:val="32"/>
          <w:szCs w:val="32"/>
        </w:rPr>
      </w:pPr>
      <w:r>
        <w:rPr>
          <w:rFonts w:hint="eastAsia" w:ascii="黑体" w:hAnsi="黑体" w:eastAsia="黑体" w:cs="黑体"/>
          <w:b/>
          <w:bCs/>
          <w:sz w:val="32"/>
          <w:szCs w:val="32"/>
        </w:rPr>
        <w:t>八、下一步改进措施</w:t>
      </w:r>
    </w:p>
    <w:p>
      <w:pPr>
        <w:widowControl/>
        <w:shd w:val="clear" w:color="auto" w:fill="FFFFFF"/>
        <w:spacing w:before="60" w:after="150" w:line="30" w:lineRule="atLeast"/>
        <w:ind w:firstLine="525"/>
        <w:jc w:val="left"/>
        <w:rPr>
          <w:rFonts w:hint="eastAsia" w:eastAsia="仿宋" w:cs="仿宋"/>
          <w:sz w:val="32"/>
          <w:szCs w:val="32"/>
          <w:lang w:val="zh-CN"/>
        </w:rPr>
      </w:pPr>
      <w:r>
        <w:rPr>
          <w:rFonts w:hint="eastAsia" w:eastAsia="仿宋" w:cs="仿宋"/>
          <w:sz w:val="32"/>
          <w:szCs w:val="32"/>
          <w:lang w:val="zh-CN"/>
        </w:rPr>
        <w:t>一是加大重视程度。应该自上而下增强绩效管理责任意识，把绩效自评、绩效管理等工作纳入常态，建立和完善财政支出绩效评价相关制度。</w:t>
      </w:r>
    </w:p>
    <w:p>
      <w:pPr>
        <w:widowControl/>
        <w:shd w:val="clear" w:color="auto" w:fill="FFFFFF"/>
        <w:spacing w:before="60" w:after="150" w:line="30" w:lineRule="atLeast"/>
        <w:ind w:firstLine="525"/>
        <w:jc w:val="left"/>
        <w:rPr>
          <w:rFonts w:hint="eastAsia" w:eastAsia="仿宋" w:cs="仿宋"/>
          <w:sz w:val="32"/>
          <w:szCs w:val="32"/>
          <w:lang w:val="zh-CN"/>
        </w:rPr>
      </w:pPr>
      <w:r>
        <w:rPr>
          <w:rFonts w:hint="eastAsia" w:eastAsia="仿宋" w:cs="仿宋"/>
          <w:sz w:val="32"/>
          <w:szCs w:val="32"/>
          <w:lang w:val="zh-CN"/>
        </w:rPr>
        <w:t>二是将绩效管理理念引入到财务管理中，在完善绩效评价工作机制的基础上，完善资金支出管理体系，提升财务管理水平。</w:t>
      </w:r>
    </w:p>
    <w:p>
      <w:pPr>
        <w:widowControl/>
        <w:shd w:val="clear" w:color="auto" w:fill="FFFFFF"/>
        <w:spacing w:before="60" w:after="150" w:line="30" w:lineRule="atLeast"/>
        <w:ind w:firstLine="525"/>
        <w:jc w:val="left"/>
        <w:rPr>
          <w:rFonts w:hint="eastAsia" w:eastAsia="仿宋" w:cs="仿宋"/>
          <w:sz w:val="32"/>
          <w:szCs w:val="32"/>
          <w:lang w:val="zh-CN"/>
        </w:rPr>
      </w:pPr>
      <w:r>
        <w:rPr>
          <w:rFonts w:hint="eastAsia" w:eastAsia="仿宋" w:cs="仿宋"/>
          <w:sz w:val="32"/>
          <w:szCs w:val="32"/>
          <w:lang w:val="zh-CN"/>
        </w:rPr>
        <w:t>三是增强资产管理过程中的责任意识，各使用股室及资产管理部门应加强对接，各股室的闲置资产应及时交还资产管理部门集中管理、集中调度，避免资产的损坏和浪费。</w:t>
      </w:r>
    </w:p>
    <w:p>
      <w:pPr>
        <w:widowControl/>
        <w:shd w:val="clear" w:color="auto" w:fill="FFFFFF"/>
        <w:spacing w:before="60" w:after="150" w:line="30" w:lineRule="atLeast"/>
        <w:ind w:firstLine="525"/>
        <w:jc w:val="left"/>
        <w:rPr>
          <w:rFonts w:hint="eastAsia" w:eastAsia="仿宋" w:cs="仿宋"/>
          <w:sz w:val="32"/>
          <w:szCs w:val="32"/>
          <w:lang w:val="zh-CN"/>
        </w:rPr>
      </w:pPr>
    </w:p>
    <w:p>
      <w:pPr>
        <w:widowControl/>
        <w:shd w:val="clear" w:color="auto" w:fill="FFFFFF"/>
        <w:spacing w:before="60" w:after="150" w:line="30" w:lineRule="atLeast"/>
        <w:ind w:firstLine="525"/>
        <w:jc w:val="left"/>
        <w:rPr>
          <w:rFonts w:hint="eastAsia" w:ascii="黑体" w:hAnsi="黑体" w:eastAsia="黑体" w:cs="黑体"/>
          <w:b/>
          <w:bCs/>
          <w:sz w:val="32"/>
          <w:szCs w:val="32"/>
        </w:rPr>
      </w:pPr>
      <w:r>
        <w:rPr>
          <w:rFonts w:hint="eastAsia" w:ascii="黑体" w:hAnsi="黑体" w:eastAsia="黑体" w:cs="黑体"/>
          <w:b/>
          <w:bCs/>
          <w:sz w:val="32"/>
          <w:szCs w:val="32"/>
        </w:rPr>
        <w:t>九、部门整体支出绩效自评结果拟应用和公开情况</w:t>
      </w:r>
    </w:p>
    <w:p>
      <w:pPr>
        <w:widowControl/>
        <w:shd w:val="clear" w:color="auto" w:fill="FFFFFF"/>
        <w:spacing w:before="60" w:after="150" w:line="30" w:lineRule="atLeast"/>
        <w:ind w:firstLine="525"/>
        <w:jc w:val="left"/>
        <w:rPr>
          <w:rFonts w:hint="eastAsia" w:eastAsia="仿宋" w:cs="仿宋"/>
          <w:color w:val="333333"/>
          <w:sz w:val="32"/>
          <w:szCs w:val="32"/>
          <w:shd w:val="clear" w:color="auto" w:fill="FFFFFF"/>
          <w:lang w:bidi="ar"/>
        </w:rPr>
      </w:pPr>
      <w:r>
        <w:rPr>
          <w:rFonts w:hint="eastAsia" w:eastAsia="仿宋" w:cs="仿宋"/>
          <w:sz w:val="32"/>
          <w:szCs w:val="32"/>
          <w:lang w:val="zh-CN"/>
        </w:rPr>
        <w:t>根据统一要求，我单位将按规定时间在本单位门户网站公开，接受公众监督，强化对财政资金支出的监控，增强公共财政支出的公正性与透明性。</w:t>
      </w:r>
    </w:p>
    <w:p>
      <w:pPr>
        <w:spacing w:line="550" w:lineRule="exact"/>
        <w:ind w:left="420" w:leftChars="200"/>
        <w:jc w:val="left"/>
        <w:rPr>
          <w:rFonts w:ascii="Times New Roman" w:hAnsi="Times New Roman" w:eastAsia="黑体"/>
          <w:sz w:val="32"/>
          <w:szCs w:val="32"/>
        </w:rPr>
      </w:pPr>
    </w:p>
    <w:p>
      <w:pPr>
        <w:widowControl/>
        <w:shd w:val="clear" w:color="auto" w:fill="FFFFFF"/>
        <w:spacing w:before="60" w:after="150" w:line="30" w:lineRule="atLeast"/>
        <w:ind w:firstLine="525"/>
        <w:jc w:val="left"/>
        <w:rPr>
          <w:rFonts w:hint="eastAsia" w:ascii="黑体" w:hAnsi="黑体" w:eastAsia="黑体" w:cs="黑体"/>
          <w:b/>
          <w:bCs/>
          <w:sz w:val="32"/>
          <w:szCs w:val="32"/>
        </w:rPr>
      </w:pPr>
      <w:r>
        <w:rPr>
          <w:rFonts w:hint="eastAsia" w:ascii="黑体" w:hAnsi="黑体" w:eastAsia="黑体" w:cs="黑体"/>
          <w:b/>
          <w:bCs/>
          <w:sz w:val="32"/>
          <w:szCs w:val="32"/>
        </w:rPr>
        <w:t>十、其他需要说明的情况</w:t>
      </w:r>
    </w:p>
    <w:p>
      <w:pPr>
        <w:widowControl/>
        <w:shd w:val="clear" w:color="auto" w:fill="FFFFFF"/>
        <w:spacing w:before="60" w:after="150" w:line="30" w:lineRule="atLeast"/>
        <w:ind w:firstLine="525"/>
        <w:jc w:val="left"/>
        <w:rPr>
          <w:rFonts w:hint="eastAsia" w:eastAsia="仿宋" w:cs="仿宋"/>
          <w:sz w:val="32"/>
          <w:szCs w:val="32"/>
          <w:lang w:val="zh-CN"/>
        </w:rPr>
      </w:pPr>
      <w:r>
        <w:rPr>
          <w:rFonts w:hint="eastAsia" w:eastAsia="仿宋" w:cs="仿宋"/>
          <w:sz w:val="32"/>
          <w:szCs w:val="32"/>
          <w:lang w:val="zh-CN"/>
        </w:rPr>
        <w:t>无</w:t>
      </w:r>
    </w:p>
    <w:p>
      <w:pPr>
        <w:widowControl/>
        <w:shd w:val="clear" w:color="auto" w:fill="FFFFFF"/>
        <w:spacing w:before="60" w:after="150" w:line="30" w:lineRule="atLeast"/>
        <w:ind w:firstLine="525"/>
        <w:jc w:val="left"/>
        <w:rPr>
          <w:rFonts w:hint="eastAsia" w:eastAsia="仿宋" w:cs="仿宋"/>
          <w:color w:val="333333"/>
          <w:sz w:val="32"/>
          <w:szCs w:val="32"/>
          <w:shd w:val="clear" w:color="auto" w:fill="FFFFFF"/>
          <w:lang w:bidi="ar"/>
        </w:rPr>
      </w:pPr>
      <w:r>
        <w:rPr>
          <w:rFonts w:hint="eastAsia" w:eastAsia="仿宋" w:cs="仿宋"/>
          <w:sz w:val="32"/>
          <w:szCs w:val="32"/>
          <w:lang w:val="zh-CN"/>
        </w:rPr>
        <w:t>报告需要以下附件：</w:t>
      </w:r>
    </w:p>
    <w:p>
      <w:pPr>
        <w:widowControl/>
        <w:shd w:val="clear" w:color="auto" w:fill="FFFFFF"/>
        <w:spacing w:before="60" w:after="150" w:line="30" w:lineRule="atLeast"/>
        <w:ind w:firstLine="525"/>
        <w:jc w:val="left"/>
        <w:rPr>
          <w:rFonts w:hint="eastAsia" w:eastAsia="仿宋" w:cs="仿宋"/>
          <w:color w:val="333333"/>
          <w:sz w:val="32"/>
          <w:szCs w:val="32"/>
          <w:shd w:val="clear" w:color="auto" w:fill="FFFFFF"/>
          <w:lang w:bidi="ar"/>
        </w:rPr>
      </w:pPr>
      <w:r>
        <w:rPr>
          <w:rFonts w:hint="eastAsia" w:eastAsia="仿宋" w:cs="仿宋"/>
          <w:color w:val="333333"/>
          <w:sz w:val="32"/>
          <w:szCs w:val="32"/>
          <w:shd w:val="clear" w:color="auto" w:fill="FFFFFF"/>
          <w:lang w:bidi="ar"/>
        </w:rPr>
        <w:t xml:space="preserve">1、2021年度部门整体支出绩效评价基础数据表 </w:t>
      </w:r>
    </w:p>
    <w:p>
      <w:pPr>
        <w:widowControl/>
        <w:shd w:val="clear" w:color="auto" w:fill="FFFFFF"/>
        <w:spacing w:before="60" w:after="150" w:line="30" w:lineRule="atLeast"/>
        <w:ind w:firstLine="525"/>
        <w:jc w:val="left"/>
        <w:rPr>
          <w:rFonts w:hint="eastAsia" w:eastAsia="仿宋" w:cs="仿宋"/>
          <w:color w:val="333333"/>
          <w:sz w:val="32"/>
          <w:szCs w:val="32"/>
          <w:shd w:val="clear" w:color="auto" w:fill="FFFFFF"/>
          <w:lang w:bidi="ar"/>
        </w:rPr>
      </w:pPr>
      <w:r>
        <w:rPr>
          <w:rFonts w:hint="eastAsia" w:eastAsia="仿宋" w:cs="仿宋"/>
          <w:color w:val="333333"/>
          <w:sz w:val="32"/>
          <w:szCs w:val="32"/>
          <w:shd w:val="clear" w:color="auto" w:fill="FFFFFF"/>
          <w:lang w:bidi="ar"/>
        </w:rPr>
        <w:t>2、2021年度部门整体支出绩效自评表</w:t>
      </w:r>
    </w:p>
    <w:p>
      <w:pPr>
        <w:spacing w:after="120" w:afterLines="50" w:line="600" w:lineRule="exact"/>
        <w:rPr>
          <w:rFonts w:ascii="Times New Roman" w:hAnsi="Times New Roman" w:eastAsia="黑体"/>
          <w:sz w:val="32"/>
          <w:szCs w:val="32"/>
        </w:rPr>
      </w:pPr>
      <w:r>
        <w:rPr>
          <w:rFonts w:ascii="Times New Roman" w:hAnsi="Times New Roman" w:eastAsia="黑体"/>
          <w:sz w:val="32"/>
          <w:szCs w:val="32"/>
        </w:rPr>
        <w:br w:type="page"/>
      </w:r>
      <w:r>
        <w:rPr>
          <w:rFonts w:ascii="Times New Roman" w:hAnsi="Times New Roman" w:eastAsia="黑体"/>
          <w:sz w:val="32"/>
          <w:szCs w:val="32"/>
        </w:rPr>
        <w:t>附件2</w:t>
      </w:r>
    </w:p>
    <w:p>
      <w:pPr>
        <w:spacing w:after="120" w:afterLines="50" w:line="520" w:lineRule="exact"/>
        <w:jc w:val="center"/>
        <w:rPr>
          <w:rFonts w:hint="eastAsia" w:ascii="方正小标宋简体" w:hAnsi="Times New Roman" w:eastAsia="方正小标宋简体"/>
          <w:sz w:val="44"/>
          <w:szCs w:val="44"/>
        </w:rPr>
      </w:pPr>
      <w:r>
        <w:rPr>
          <w:rFonts w:hint="eastAsia" w:ascii="方正小标宋简体" w:hAnsi="Times New Roman" w:eastAsia="方正小标宋简体"/>
          <w:sz w:val="44"/>
          <w:szCs w:val="44"/>
        </w:rPr>
        <w:t>2021年度部门整体支出绩效评价基础数据表</w:t>
      </w:r>
    </w:p>
    <w:tbl>
      <w:tblPr>
        <w:tblStyle w:val="7"/>
        <w:tblW w:w="935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400"/>
        <w:gridCol w:w="1205"/>
        <w:gridCol w:w="641"/>
        <w:gridCol w:w="1144"/>
        <w:gridCol w:w="1078"/>
        <w:gridCol w:w="1095"/>
        <w:gridCol w:w="7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3400" w:type="dxa"/>
            <w:vMerge w:val="restart"/>
            <w:noWrap w:val="0"/>
            <w:vAlign w:val="center"/>
          </w:tcPr>
          <w:p>
            <w:pPr>
              <w:jc w:val="center"/>
              <w:rPr>
                <w:rFonts w:ascii="Times New Roman" w:hAnsi="Times New Roman" w:eastAsia="仿宋_GB2312"/>
                <w:sz w:val="20"/>
                <w:szCs w:val="20"/>
              </w:rPr>
            </w:pPr>
            <w:r>
              <w:rPr>
                <w:rFonts w:ascii="Times New Roman" w:hAnsi="Times New Roman" w:eastAsia="仿宋_GB2312"/>
                <w:sz w:val="20"/>
                <w:szCs w:val="20"/>
              </w:rPr>
              <w:t>财政供养人员情况（人）</w:t>
            </w:r>
          </w:p>
        </w:tc>
        <w:tc>
          <w:tcPr>
            <w:tcW w:w="1846" w:type="dxa"/>
            <w:gridSpan w:val="2"/>
            <w:noWrap w:val="0"/>
            <w:vAlign w:val="center"/>
          </w:tcPr>
          <w:p>
            <w:pPr>
              <w:jc w:val="center"/>
              <w:rPr>
                <w:rFonts w:ascii="Times New Roman" w:hAnsi="Times New Roman" w:eastAsia="仿宋_GB2312"/>
                <w:b/>
                <w:bCs/>
                <w:sz w:val="20"/>
                <w:szCs w:val="20"/>
              </w:rPr>
            </w:pPr>
            <w:r>
              <w:rPr>
                <w:rFonts w:ascii="Times New Roman" w:hAnsi="Times New Roman" w:eastAsia="仿宋_GB2312"/>
                <w:b/>
                <w:bCs/>
                <w:sz w:val="20"/>
                <w:szCs w:val="20"/>
              </w:rPr>
              <w:t>编制数</w:t>
            </w:r>
          </w:p>
        </w:tc>
        <w:tc>
          <w:tcPr>
            <w:tcW w:w="2222" w:type="dxa"/>
            <w:gridSpan w:val="2"/>
            <w:noWrap w:val="0"/>
            <w:vAlign w:val="center"/>
          </w:tcPr>
          <w:p>
            <w:pPr>
              <w:jc w:val="center"/>
              <w:rPr>
                <w:rFonts w:ascii="Times New Roman" w:hAnsi="Times New Roman" w:eastAsia="仿宋_GB2312"/>
                <w:b/>
                <w:bCs/>
                <w:sz w:val="20"/>
                <w:szCs w:val="20"/>
              </w:rPr>
            </w:pPr>
            <w:r>
              <w:rPr>
                <w:rFonts w:ascii="Times New Roman" w:hAnsi="Times New Roman" w:eastAsia="仿宋_GB2312"/>
                <w:b/>
                <w:bCs/>
                <w:sz w:val="20"/>
                <w:szCs w:val="20"/>
              </w:rPr>
              <w:t>2021年实际在职人数</w:t>
            </w:r>
          </w:p>
        </w:tc>
        <w:tc>
          <w:tcPr>
            <w:tcW w:w="1890" w:type="dxa"/>
            <w:gridSpan w:val="2"/>
            <w:noWrap w:val="0"/>
            <w:vAlign w:val="center"/>
          </w:tcPr>
          <w:p>
            <w:pPr>
              <w:jc w:val="center"/>
              <w:rPr>
                <w:rFonts w:ascii="Times New Roman" w:hAnsi="Times New Roman" w:eastAsia="仿宋_GB2312"/>
                <w:b/>
                <w:bCs/>
                <w:sz w:val="20"/>
                <w:szCs w:val="20"/>
              </w:rPr>
            </w:pPr>
            <w:r>
              <w:rPr>
                <w:rFonts w:ascii="Times New Roman" w:hAnsi="Times New Roman" w:eastAsia="仿宋_GB2312"/>
                <w:b/>
                <w:bCs/>
                <w:sz w:val="20"/>
                <w:szCs w:val="20"/>
              </w:rPr>
              <w:t>控制率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8" w:hRule="atLeast"/>
          <w:jc w:val="center"/>
        </w:trPr>
        <w:tc>
          <w:tcPr>
            <w:tcW w:w="3400" w:type="dxa"/>
            <w:vMerge w:val="continue"/>
            <w:noWrap w:val="0"/>
            <w:vAlign w:val="center"/>
          </w:tcPr>
          <w:p>
            <w:pPr>
              <w:jc w:val="left"/>
              <w:rPr>
                <w:rFonts w:ascii="Times New Roman" w:hAnsi="Times New Roman" w:eastAsia="仿宋_GB2312"/>
                <w:sz w:val="20"/>
                <w:szCs w:val="20"/>
              </w:rPr>
            </w:pPr>
          </w:p>
        </w:tc>
        <w:tc>
          <w:tcPr>
            <w:tcW w:w="1846" w:type="dxa"/>
            <w:gridSpan w:val="2"/>
            <w:noWrap w:val="0"/>
            <w:vAlign w:val="center"/>
          </w:tcPr>
          <w:p>
            <w:pPr>
              <w:jc w:val="center"/>
              <w:rPr>
                <w:rFonts w:ascii="Times New Roman" w:hAnsi="Times New Roman" w:eastAsia="仿宋_GB2312"/>
                <w:sz w:val="20"/>
                <w:szCs w:val="20"/>
              </w:rPr>
            </w:pPr>
            <w:r>
              <w:rPr>
                <w:rFonts w:hint="eastAsia" w:ascii="Times New Roman" w:hAnsi="Times New Roman" w:eastAsia="仿宋_GB2312"/>
                <w:sz w:val="20"/>
                <w:szCs w:val="20"/>
              </w:rPr>
              <w:t>28</w:t>
            </w:r>
            <w:r>
              <w:rPr>
                <w:rFonts w:ascii="Times New Roman" w:hAnsi="Times New Roman" w:eastAsia="仿宋_GB2312"/>
                <w:sz w:val="20"/>
                <w:szCs w:val="20"/>
              </w:rPr>
              <w:t>　</w:t>
            </w:r>
          </w:p>
        </w:tc>
        <w:tc>
          <w:tcPr>
            <w:tcW w:w="2222" w:type="dxa"/>
            <w:gridSpan w:val="2"/>
            <w:noWrap w:val="0"/>
            <w:vAlign w:val="center"/>
          </w:tcPr>
          <w:p>
            <w:pPr>
              <w:jc w:val="center"/>
              <w:rPr>
                <w:rFonts w:ascii="Times New Roman" w:hAnsi="Times New Roman" w:eastAsia="仿宋_GB2312"/>
                <w:sz w:val="20"/>
                <w:szCs w:val="20"/>
              </w:rPr>
            </w:pPr>
            <w:r>
              <w:rPr>
                <w:rFonts w:hint="eastAsia" w:ascii="Times New Roman" w:hAnsi="Times New Roman" w:eastAsia="仿宋_GB2312"/>
                <w:sz w:val="20"/>
                <w:szCs w:val="20"/>
              </w:rPr>
              <w:t>24</w:t>
            </w:r>
            <w:r>
              <w:rPr>
                <w:rFonts w:ascii="Times New Roman" w:hAnsi="Times New Roman" w:eastAsia="仿宋_GB2312"/>
                <w:sz w:val="20"/>
                <w:szCs w:val="20"/>
              </w:rPr>
              <w:t>　</w:t>
            </w:r>
          </w:p>
        </w:tc>
        <w:tc>
          <w:tcPr>
            <w:tcW w:w="1890" w:type="dxa"/>
            <w:gridSpan w:val="2"/>
            <w:noWrap w:val="0"/>
            <w:vAlign w:val="center"/>
          </w:tcPr>
          <w:p>
            <w:pPr>
              <w:jc w:val="center"/>
              <w:rPr>
                <w:rFonts w:ascii="Times New Roman" w:hAnsi="Times New Roman" w:eastAsia="仿宋_GB2312"/>
                <w:sz w:val="20"/>
                <w:szCs w:val="20"/>
              </w:rPr>
            </w:pPr>
            <w:r>
              <w:rPr>
                <w:rFonts w:hint="eastAsia" w:ascii="Times New Roman" w:hAnsi="Times New Roman" w:eastAsia="仿宋_GB2312"/>
                <w:sz w:val="20"/>
                <w:szCs w:val="20"/>
              </w:rPr>
              <w:t>85.71%</w:t>
            </w:r>
            <w:r>
              <w:rPr>
                <w:rFonts w:ascii="Times New Roman" w:hAnsi="Times New Roman" w:eastAsia="仿宋_GB2312"/>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3400" w:type="dxa"/>
            <w:noWrap w:val="0"/>
            <w:vAlign w:val="center"/>
          </w:tcPr>
          <w:p>
            <w:pPr>
              <w:jc w:val="center"/>
              <w:rPr>
                <w:rFonts w:ascii="Times New Roman" w:hAnsi="Times New Roman" w:eastAsia="仿宋_GB2312"/>
                <w:sz w:val="20"/>
                <w:szCs w:val="20"/>
              </w:rPr>
            </w:pPr>
            <w:r>
              <w:rPr>
                <w:rFonts w:ascii="Times New Roman" w:hAnsi="Times New Roman" w:eastAsia="仿宋_GB2312"/>
                <w:sz w:val="20"/>
                <w:szCs w:val="20"/>
              </w:rPr>
              <w:t>经费控制情况（万元）</w:t>
            </w:r>
          </w:p>
        </w:tc>
        <w:tc>
          <w:tcPr>
            <w:tcW w:w="1846" w:type="dxa"/>
            <w:gridSpan w:val="2"/>
            <w:noWrap w:val="0"/>
            <w:vAlign w:val="center"/>
          </w:tcPr>
          <w:p>
            <w:pPr>
              <w:jc w:val="center"/>
              <w:rPr>
                <w:rFonts w:ascii="Times New Roman" w:hAnsi="Times New Roman" w:eastAsia="仿宋_GB2312"/>
                <w:b/>
                <w:bCs/>
                <w:sz w:val="20"/>
                <w:szCs w:val="20"/>
              </w:rPr>
            </w:pPr>
            <w:r>
              <w:rPr>
                <w:rFonts w:ascii="Times New Roman" w:hAnsi="Times New Roman" w:eastAsia="仿宋_GB2312"/>
                <w:b/>
                <w:bCs/>
                <w:sz w:val="20"/>
                <w:szCs w:val="20"/>
              </w:rPr>
              <w:t>2020年决算数</w:t>
            </w:r>
          </w:p>
        </w:tc>
        <w:tc>
          <w:tcPr>
            <w:tcW w:w="2222" w:type="dxa"/>
            <w:gridSpan w:val="2"/>
            <w:noWrap w:val="0"/>
            <w:vAlign w:val="center"/>
          </w:tcPr>
          <w:p>
            <w:pPr>
              <w:jc w:val="center"/>
              <w:rPr>
                <w:rFonts w:ascii="Times New Roman" w:hAnsi="Times New Roman" w:eastAsia="仿宋_GB2312"/>
                <w:b/>
                <w:bCs/>
                <w:sz w:val="20"/>
                <w:szCs w:val="20"/>
              </w:rPr>
            </w:pPr>
            <w:r>
              <w:rPr>
                <w:rFonts w:ascii="Times New Roman" w:hAnsi="Times New Roman" w:eastAsia="仿宋_GB2312"/>
                <w:b/>
                <w:bCs/>
                <w:sz w:val="20"/>
                <w:szCs w:val="20"/>
              </w:rPr>
              <w:t>2021年预算数</w:t>
            </w:r>
          </w:p>
        </w:tc>
        <w:tc>
          <w:tcPr>
            <w:tcW w:w="1890" w:type="dxa"/>
            <w:gridSpan w:val="2"/>
            <w:noWrap w:val="0"/>
            <w:vAlign w:val="center"/>
          </w:tcPr>
          <w:p>
            <w:pPr>
              <w:jc w:val="center"/>
              <w:rPr>
                <w:rFonts w:ascii="Times New Roman" w:hAnsi="Times New Roman" w:eastAsia="仿宋_GB2312"/>
                <w:b/>
                <w:bCs/>
                <w:sz w:val="20"/>
                <w:szCs w:val="20"/>
              </w:rPr>
            </w:pPr>
            <w:r>
              <w:rPr>
                <w:rFonts w:ascii="Times New Roman" w:hAnsi="Times New Roman" w:eastAsia="仿宋_GB2312"/>
                <w:b/>
                <w:bCs/>
                <w:sz w:val="20"/>
                <w:szCs w:val="20"/>
              </w:rPr>
              <w:t>2021年决算数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3400" w:type="dxa"/>
            <w:noWrap w:val="0"/>
            <w:vAlign w:val="center"/>
          </w:tcPr>
          <w:p>
            <w:pPr>
              <w:jc w:val="left"/>
              <w:rPr>
                <w:rFonts w:ascii="Times New Roman" w:hAnsi="Times New Roman" w:eastAsia="仿宋_GB2312"/>
                <w:sz w:val="20"/>
                <w:szCs w:val="20"/>
              </w:rPr>
            </w:pPr>
            <w:r>
              <w:rPr>
                <w:rFonts w:ascii="Times New Roman" w:hAnsi="Times New Roman" w:eastAsia="仿宋_GB2312"/>
                <w:sz w:val="20"/>
                <w:szCs w:val="20"/>
              </w:rPr>
              <w:t>一、部门基本支出</w:t>
            </w:r>
          </w:p>
        </w:tc>
        <w:tc>
          <w:tcPr>
            <w:tcW w:w="1846" w:type="dxa"/>
            <w:gridSpan w:val="2"/>
            <w:noWrap w:val="0"/>
            <w:vAlign w:val="center"/>
          </w:tcPr>
          <w:p>
            <w:pPr>
              <w:jc w:val="center"/>
              <w:rPr>
                <w:rFonts w:ascii="Times New Roman" w:hAnsi="Times New Roman" w:eastAsia="仿宋_GB2312"/>
                <w:sz w:val="20"/>
                <w:szCs w:val="20"/>
              </w:rPr>
            </w:pPr>
            <w:r>
              <w:rPr>
                <w:rFonts w:hint="eastAsia" w:ascii="Times New Roman" w:hAnsi="Times New Roman" w:eastAsia="仿宋_GB2312"/>
                <w:sz w:val="20"/>
                <w:szCs w:val="20"/>
              </w:rPr>
              <w:t>155.61</w:t>
            </w:r>
            <w:r>
              <w:rPr>
                <w:rFonts w:ascii="Times New Roman" w:hAnsi="Times New Roman" w:eastAsia="仿宋_GB2312"/>
                <w:sz w:val="20"/>
                <w:szCs w:val="20"/>
              </w:rPr>
              <w:t>　</w:t>
            </w:r>
          </w:p>
        </w:tc>
        <w:tc>
          <w:tcPr>
            <w:tcW w:w="2222" w:type="dxa"/>
            <w:gridSpan w:val="2"/>
            <w:noWrap w:val="0"/>
            <w:vAlign w:val="center"/>
          </w:tcPr>
          <w:p>
            <w:pPr>
              <w:jc w:val="center"/>
              <w:rPr>
                <w:rFonts w:ascii="Times New Roman" w:hAnsi="Times New Roman" w:eastAsia="仿宋_GB2312"/>
                <w:sz w:val="20"/>
                <w:szCs w:val="20"/>
              </w:rPr>
            </w:pPr>
            <w:r>
              <w:rPr>
                <w:rFonts w:hint="eastAsia" w:ascii="Times New Roman" w:hAnsi="Times New Roman" w:eastAsia="仿宋_GB2312"/>
                <w:sz w:val="20"/>
                <w:szCs w:val="20"/>
              </w:rPr>
              <w:t>392.28</w:t>
            </w:r>
          </w:p>
        </w:tc>
        <w:tc>
          <w:tcPr>
            <w:tcW w:w="1890" w:type="dxa"/>
            <w:gridSpan w:val="2"/>
            <w:noWrap w:val="0"/>
            <w:vAlign w:val="center"/>
          </w:tcPr>
          <w:p>
            <w:pPr>
              <w:jc w:val="center"/>
              <w:rPr>
                <w:rFonts w:ascii="Times New Roman" w:hAnsi="Times New Roman" w:eastAsia="仿宋_GB2312"/>
                <w:sz w:val="20"/>
                <w:szCs w:val="20"/>
              </w:rPr>
            </w:pPr>
            <w:r>
              <w:rPr>
                <w:rFonts w:hint="eastAsia" w:ascii="Times New Roman" w:hAnsi="Times New Roman" w:eastAsia="仿宋_GB2312"/>
                <w:sz w:val="20"/>
                <w:szCs w:val="20"/>
              </w:rPr>
              <w:t>375.26</w:t>
            </w:r>
            <w:r>
              <w:rPr>
                <w:rFonts w:ascii="Times New Roman" w:hAnsi="Times New Roman" w:eastAsia="仿宋_GB2312"/>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3400" w:type="dxa"/>
            <w:noWrap w:val="0"/>
            <w:vAlign w:val="center"/>
          </w:tcPr>
          <w:p>
            <w:pPr>
              <w:jc w:val="left"/>
              <w:rPr>
                <w:rFonts w:ascii="Times New Roman" w:hAnsi="Times New Roman" w:eastAsia="仿宋_GB2312"/>
                <w:sz w:val="20"/>
                <w:szCs w:val="20"/>
              </w:rPr>
            </w:pPr>
            <w:r>
              <w:rPr>
                <w:rFonts w:ascii="Times New Roman" w:hAnsi="Times New Roman" w:eastAsia="仿宋_GB2312"/>
                <w:sz w:val="20"/>
                <w:szCs w:val="20"/>
              </w:rPr>
              <w:t>其中：公用经费</w:t>
            </w:r>
          </w:p>
        </w:tc>
        <w:tc>
          <w:tcPr>
            <w:tcW w:w="1846" w:type="dxa"/>
            <w:gridSpan w:val="2"/>
            <w:noWrap w:val="0"/>
            <w:vAlign w:val="center"/>
          </w:tcPr>
          <w:p>
            <w:pPr>
              <w:jc w:val="center"/>
              <w:rPr>
                <w:rFonts w:hint="eastAsia" w:ascii="Times New Roman" w:hAnsi="Times New Roman" w:eastAsia="仿宋_GB2312"/>
                <w:sz w:val="20"/>
                <w:szCs w:val="20"/>
              </w:rPr>
            </w:pPr>
            <w:r>
              <w:rPr>
                <w:rFonts w:ascii="Times New Roman" w:hAnsi="Times New Roman" w:eastAsia="仿宋_GB2312"/>
                <w:sz w:val="20"/>
                <w:szCs w:val="20"/>
              </w:rPr>
              <w:t>　</w:t>
            </w:r>
            <w:r>
              <w:rPr>
                <w:rFonts w:hint="eastAsia" w:ascii="Times New Roman" w:hAnsi="Times New Roman" w:eastAsia="仿宋_GB2312"/>
                <w:sz w:val="20"/>
                <w:szCs w:val="20"/>
              </w:rPr>
              <w:t>0</w:t>
            </w:r>
          </w:p>
        </w:tc>
        <w:tc>
          <w:tcPr>
            <w:tcW w:w="2222" w:type="dxa"/>
            <w:gridSpan w:val="2"/>
            <w:noWrap w:val="0"/>
            <w:vAlign w:val="center"/>
          </w:tcPr>
          <w:p>
            <w:pPr>
              <w:jc w:val="center"/>
              <w:rPr>
                <w:rFonts w:ascii="Times New Roman" w:hAnsi="Times New Roman" w:eastAsia="仿宋_GB2312"/>
                <w:sz w:val="20"/>
                <w:szCs w:val="20"/>
              </w:rPr>
            </w:pPr>
            <w:r>
              <w:rPr>
                <w:rFonts w:hint="eastAsia" w:ascii="Times New Roman" w:hAnsi="Times New Roman" w:eastAsia="仿宋_GB2312"/>
                <w:sz w:val="20"/>
                <w:szCs w:val="20"/>
              </w:rPr>
              <w:t>43.44</w:t>
            </w:r>
            <w:r>
              <w:rPr>
                <w:rFonts w:ascii="Times New Roman" w:hAnsi="Times New Roman" w:eastAsia="仿宋_GB2312"/>
                <w:sz w:val="20"/>
                <w:szCs w:val="20"/>
              </w:rPr>
              <w:t>　</w:t>
            </w:r>
          </w:p>
        </w:tc>
        <w:tc>
          <w:tcPr>
            <w:tcW w:w="1890" w:type="dxa"/>
            <w:gridSpan w:val="2"/>
            <w:noWrap w:val="0"/>
            <w:vAlign w:val="center"/>
          </w:tcPr>
          <w:p>
            <w:pPr>
              <w:jc w:val="center"/>
              <w:rPr>
                <w:rFonts w:ascii="Times New Roman" w:hAnsi="Times New Roman" w:eastAsia="仿宋_GB2312"/>
                <w:sz w:val="20"/>
                <w:szCs w:val="20"/>
              </w:rPr>
            </w:pPr>
            <w:r>
              <w:rPr>
                <w:rFonts w:hint="eastAsia" w:ascii="Times New Roman" w:hAnsi="Times New Roman" w:eastAsia="仿宋_GB2312"/>
                <w:sz w:val="20"/>
                <w:szCs w:val="20"/>
              </w:rPr>
              <w:t>26.01</w:t>
            </w:r>
            <w:r>
              <w:rPr>
                <w:rFonts w:ascii="Times New Roman" w:hAnsi="Times New Roman" w:eastAsia="仿宋_GB2312"/>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3400" w:type="dxa"/>
            <w:noWrap w:val="0"/>
            <w:vAlign w:val="center"/>
          </w:tcPr>
          <w:p>
            <w:pPr>
              <w:jc w:val="left"/>
              <w:rPr>
                <w:rFonts w:ascii="Times New Roman" w:hAnsi="Times New Roman" w:eastAsia="仿宋_GB2312"/>
                <w:sz w:val="20"/>
                <w:szCs w:val="20"/>
              </w:rPr>
            </w:pPr>
            <w:r>
              <w:rPr>
                <w:rFonts w:ascii="Times New Roman" w:hAnsi="Times New Roman" w:eastAsia="仿宋_GB2312"/>
                <w:sz w:val="20"/>
                <w:szCs w:val="20"/>
              </w:rPr>
              <w:t>其中：办公经费</w:t>
            </w:r>
          </w:p>
        </w:tc>
        <w:tc>
          <w:tcPr>
            <w:tcW w:w="1846" w:type="dxa"/>
            <w:gridSpan w:val="2"/>
            <w:noWrap w:val="0"/>
            <w:vAlign w:val="center"/>
          </w:tcPr>
          <w:p>
            <w:pPr>
              <w:jc w:val="center"/>
              <w:rPr>
                <w:rFonts w:hint="eastAsia" w:ascii="Times New Roman" w:hAnsi="Times New Roman" w:eastAsia="仿宋_GB2312"/>
                <w:sz w:val="20"/>
                <w:szCs w:val="20"/>
              </w:rPr>
            </w:pPr>
            <w:r>
              <w:rPr>
                <w:rFonts w:ascii="Times New Roman" w:hAnsi="Times New Roman" w:eastAsia="仿宋_GB2312"/>
                <w:sz w:val="20"/>
                <w:szCs w:val="20"/>
              </w:rPr>
              <w:t>　</w:t>
            </w:r>
            <w:r>
              <w:rPr>
                <w:rFonts w:hint="eastAsia" w:ascii="Times New Roman" w:hAnsi="Times New Roman" w:eastAsia="仿宋_GB2312"/>
                <w:sz w:val="20"/>
                <w:szCs w:val="20"/>
              </w:rPr>
              <w:t>0</w:t>
            </w:r>
          </w:p>
        </w:tc>
        <w:tc>
          <w:tcPr>
            <w:tcW w:w="2222" w:type="dxa"/>
            <w:gridSpan w:val="2"/>
            <w:noWrap w:val="0"/>
            <w:vAlign w:val="center"/>
          </w:tcPr>
          <w:p>
            <w:pPr>
              <w:jc w:val="center"/>
              <w:rPr>
                <w:rFonts w:ascii="Times New Roman" w:hAnsi="Times New Roman" w:eastAsia="仿宋_GB2312"/>
                <w:sz w:val="20"/>
                <w:szCs w:val="20"/>
              </w:rPr>
            </w:pPr>
            <w:r>
              <w:rPr>
                <w:rFonts w:hint="eastAsia" w:ascii="Times New Roman" w:hAnsi="Times New Roman" w:eastAsia="仿宋_GB2312"/>
                <w:sz w:val="20"/>
                <w:szCs w:val="20"/>
              </w:rPr>
              <w:t>9.48</w:t>
            </w:r>
            <w:r>
              <w:rPr>
                <w:rFonts w:ascii="Times New Roman" w:hAnsi="Times New Roman" w:eastAsia="仿宋_GB2312"/>
                <w:sz w:val="20"/>
                <w:szCs w:val="20"/>
              </w:rPr>
              <w:t>　</w:t>
            </w:r>
          </w:p>
        </w:tc>
        <w:tc>
          <w:tcPr>
            <w:tcW w:w="1890" w:type="dxa"/>
            <w:gridSpan w:val="2"/>
            <w:noWrap w:val="0"/>
            <w:vAlign w:val="center"/>
          </w:tcPr>
          <w:p>
            <w:pPr>
              <w:jc w:val="center"/>
              <w:rPr>
                <w:rFonts w:ascii="Times New Roman" w:hAnsi="Times New Roman" w:eastAsia="仿宋_GB2312"/>
                <w:sz w:val="20"/>
                <w:szCs w:val="20"/>
              </w:rPr>
            </w:pPr>
            <w:r>
              <w:rPr>
                <w:rFonts w:hint="eastAsia" w:ascii="Times New Roman" w:hAnsi="Times New Roman" w:eastAsia="仿宋_GB2312"/>
                <w:sz w:val="20"/>
                <w:szCs w:val="20"/>
              </w:rPr>
              <w:t>10.43</w:t>
            </w:r>
            <w:r>
              <w:rPr>
                <w:rFonts w:ascii="Times New Roman" w:hAnsi="Times New Roman" w:eastAsia="仿宋_GB2312"/>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3400" w:type="dxa"/>
            <w:noWrap w:val="0"/>
            <w:vAlign w:val="center"/>
          </w:tcPr>
          <w:p>
            <w:pPr>
              <w:ind w:firstLine="600" w:firstLineChars="300"/>
              <w:jc w:val="left"/>
              <w:rPr>
                <w:rFonts w:ascii="Times New Roman" w:hAnsi="Times New Roman" w:eastAsia="仿宋_GB2312"/>
                <w:sz w:val="20"/>
                <w:szCs w:val="20"/>
              </w:rPr>
            </w:pPr>
            <w:r>
              <w:rPr>
                <w:rFonts w:ascii="Times New Roman" w:hAnsi="Times New Roman" w:eastAsia="仿宋_GB2312"/>
                <w:sz w:val="20"/>
                <w:szCs w:val="20"/>
              </w:rPr>
              <w:t>水费、电费、差旅费</w:t>
            </w:r>
          </w:p>
        </w:tc>
        <w:tc>
          <w:tcPr>
            <w:tcW w:w="1846" w:type="dxa"/>
            <w:gridSpan w:val="2"/>
            <w:noWrap w:val="0"/>
            <w:vAlign w:val="center"/>
          </w:tcPr>
          <w:p>
            <w:pPr>
              <w:jc w:val="center"/>
              <w:rPr>
                <w:rFonts w:hint="eastAsia" w:ascii="Times New Roman" w:hAnsi="Times New Roman" w:eastAsia="仿宋_GB2312"/>
                <w:sz w:val="20"/>
                <w:szCs w:val="20"/>
              </w:rPr>
            </w:pPr>
            <w:r>
              <w:rPr>
                <w:rFonts w:ascii="Times New Roman" w:hAnsi="Times New Roman" w:eastAsia="仿宋_GB2312"/>
                <w:sz w:val="20"/>
                <w:szCs w:val="20"/>
              </w:rPr>
              <w:t>　</w:t>
            </w:r>
            <w:r>
              <w:rPr>
                <w:rFonts w:hint="eastAsia" w:ascii="Times New Roman" w:hAnsi="Times New Roman" w:eastAsia="仿宋_GB2312"/>
                <w:sz w:val="20"/>
                <w:szCs w:val="20"/>
              </w:rPr>
              <w:t>0</w:t>
            </w:r>
          </w:p>
        </w:tc>
        <w:tc>
          <w:tcPr>
            <w:tcW w:w="2222" w:type="dxa"/>
            <w:gridSpan w:val="2"/>
            <w:noWrap w:val="0"/>
            <w:vAlign w:val="center"/>
          </w:tcPr>
          <w:p>
            <w:pPr>
              <w:jc w:val="center"/>
              <w:rPr>
                <w:rFonts w:ascii="Times New Roman" w:hAnsi="Times New Roman" w:eastAsia="仿宋_GB2312"/>
                <w:sz w:val="20"/>
                <w:szCs w:val="20"/>
              </w:rPr>
            </w:pPr>
            <w:r>
              <w:rPr>
                <w:rFonts w:hint="eastAsia" w:ascii="Times New Roman" w:hAnsi="Times New Roman" w:eastAsia="仿宋_GB2312"/>
                <w:sz w:val="20"/>
                <w:szCs w:val="20"/>
              </w:rPr>
              <w:t>4.33</w:t>
            </w:r>
            <w:r>
              <w:rPr>
                <w:rFonts w:ascii="Times New Roman" w:hAnsi="Times New Roman" w:eastAsia="仿宋_GB2312"/>
                <w:sz w:val="20"/>
                <w:szCs w:val="20"/>
              </w:rPr>
              <w:t>　</w:t>
            </w:r>
          </w:p>
        </w:tc>
        <w:tc>
          <w:tcPr>
            <w:tcW w:w="1890" w:type="dxa"/>
            <w:gridSpan w:val="2"/>
            <w:noWrap w:val="0"/>
            <w:vAlign w:val="center"/>
          </w:tcPr>
          <w:p>
            <w:pPr>
              <w:jc w:val="center"/>
              <w:rPr>
                <w:rFonts w:ascii="Times New Roman" w:hAnsi="Times New Roman" w:eastAsia="仿宋_GB2312"/>
                <w:sz w:val="20"/>
                <w:szCs w:val="20"/>
              </w:rPr>
            </w:pPr>
            <w:r>
              <w:rPr>
                <w:rFonts w:hint="eastAsia" w:ascii="Times New Roman" w:hAnsi="Times New Roman" w:eastAsia="仿宋_GB2312"/>
                <w:sz w:val="20"/>
                <w:szCs w:val="20"/>
              </w:rPr>
              <w:t>5.28</w:t>
            </w:r>
            <w:r>
              <w:rPr>
                <w:rFonts w:ascii="Times New Roman" w:hAnsi="Times New Roman" w:eastAsia="仿宋_GB2312"/>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3400" w:type="dxa"/>
            <w:noWrap w:val="0"/>
            <w:vAlign w:val="center"/>
          </w:tcPr>
          <w:p>
            <w:pPr>
              <w:ind w:firstLine="600" w:firstLineChars="300"/>
              <w:jc w:val="left"/>
              <w:rPr>
                <w:rFonts w:ascii="Times New Roman" w:hAnsi="Times New Roman" w:eastAsia="仿宋_GB2312"/>
                <w:sz w:val="20"/>
                <w:szCs w:val="20"/>
              </w:rPr>
            </w:pPr>
            <w:r>
              <w:rPr>
                <w:rFonts w:ascii="Times New Roman" w:hAnsi="Times New Roman" w:eastAsia="仿宋_GB2312"/>
                <w:sz w:val="20"/>
                <w:szCs w:val="20"/>
              </w:rPr>
              <w:t>会议费、培训费</w:t>
            </w:r>
          </w:p>
        </w:tc>
        <w:tc>
          <w:tcPr>
            <w:tcW w:w="1846" w:type="dxa"/>
            <w:gridSpan w:val="2"/>
            <w:noWrap w:val="0"/>
            <w:vAlign w:val="center"/>
          </w:tcPr>
          <w:p>
            <w:pPr>
              <w:jc w:val="center"/>
              <w:rPr>
                <w:rFonts w:hint="eastAsia" w:ascii="Times New Roman" w:hAnsi="Times New Roman" w:eastAsia="仿宋_GB2312"/>
                <w:sz w:val="20"/>
                <w:szCs w:val="20"/>
              </w:rPr>
            </w:pPr>
            <w:r>
              <w:rPr>
                <w:rFonts w:ascii="Times New Roman" w:hAnsi="Times New Roman" w:eastAsia="仿宋_GB2312"/>
                <w:sz w:val="20"/>
                <w:szCs w:val="20"/>
              </w:rPr>
              <w:t>　</w:t>
            </w:r>
            <w:r>
              <w:rPr>
                <w:rFonts w:hint="eastAsia" w:ascii="Times New Roman" w:hAnsi="Times New Roman" w:eastAsia="仿宋_GB2312"/>
                <w:sz w:val="20"/>
                <w:szCs w:val="20"/>
              </w:rPr>
              <w:t>0</w:t>
            </w:r>
          </w:p>
        </w:tc>
        <w:tc>
          <w:tcPr>
            <w:tcW w:w="2222" w:type="dxa"/>
            <w:gridSpan w:val="2"/>
            <w:noWrap w:val="0"/>
            <w:vAlign w:val="center"/>
          </w:tcPr>
          <w:p>
            <w:pPr>
              <w:jc w:val="center"/>
              <w:rPr>
                <w:rFonts w:hint="eastAsia" w:ascii="Times New Roman" w:hAnsi="Times New Roman" w:eastAsia="仿宋_GB2312"/>
                <w:sz w:val="20"/>
                <w:szCs w:val="20"/>
              </w:rPr>
            </w:pPr>
            <w:r>
              <w:rPr>
                <w:rFonts w:ascii="Times New Roman" w:hAnsi="Times New Roman" w:eastAsia="仿宋_GB2312"/>
                <w:sz w:val="20"/>
                <w:szCs w:val="20"/>
              </w:rPr>
              <w:t>　</w:t>
            </w:r>
            <w:r>
              <w:rPr>
                <w:rFonts w:hint="eastAsia" w:ascii="Times New Roman" w:hAnsi="Times New Roman" w:eastAsia="仿宋_GB2312"/>
                <w:sz w:val="20"/>
                <w:szCs w:val="20"/>
              </w:rPr>
              <w:t>0</w:t>
            </w:r>
          </w:p>
        </w:tc>
        <w:tc>
          <w:tcPr>
            <w:tcW w:w="1890" w:type="dxa"/>
            <w:gridSpan w:val="2"/>
            <w:noWrap w:val="0"/>
            <w:vAlign w:val="center"/>
          </w:tcPr>
          <w:p>
            <w:pPr>
              <w:jc w:val="center"/>
              <w:rPr>
                <w:rFonts w:hint="eastAsia" w:ascii="Times New Roman" w:hAnsi="Times New Roman" w:eastAsia="仿宋_GB2312"/>
                <w:sz w:val="20"/>
                <w:szCs w:val="20"/>
              </w:rPr>
            </w:pPr>
            <w:r>
              <w:rPr>
                <w:rFonts w:ascii="Times New Roman" w:hAnsi="Times New Roman" w:eastAsia="仿宋_GB2312"/>
                <w:sz w:val="20"/>
                <w:szCs w:val="20"/>
              </w:rPr>
              <w:t>　</w:t>
            </w:r>
            <w:r>
              <w:rPr>
                <w:rFonts w:hint="eastAsia" w:ascii="Times New Roman" w:hAnsi="Times New Roman" w:eastAsia="仿宋_GB2312"/>
                <w:sz w:val="20"/>
                <w:szCs w:val="20"/>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3400" w:type="dxa"/>
            <w:noWrap w:val="0"/>
            <w:vAlign w:val="center"/>
          </w:tcPr>
          <w:p>
            <w:pPr>
              <w:ind w:firstLine="200" w:firstLineChars="100"/>
              <w:jc w:val="left"/>
              <w:rPr>
                <w:rFonts w:ascii="Times New Roman" w:hAnsi="Times New Roman" w:eastAsia="仿宋_GB2312"/>
                <w:sz w:val="20"/>
                <w:szCs w:val="20"/>
              </w:rPr>
            </w:pPr>
            <w:r>
              <w:rPr>
                <w:rFonts w:ascii="Times New Roman" w:hAnsi="Times New Roman" w:eastAsia="仿宋_GB2312"/>
                <w:sz w:val="20"/>
                <w:szCs w:val="20"/>
              </w:rPr>
              <w:t>三公经费</w:t>
            </w:r>
          </w:p>
        </w:tc>
        <w:tc>
          <w:tcPr>
            <w:tcW w:w="1846" w:type="dxa"/>
            <w:gridSpan w:val="2"/>
            <w:noWrap w:val="0"/>
            <w:vAlign w:val="center"/>
          </w:tcPr>
          <w:p>
            <w:pPr>
              <w:jc w:val="center"/>
              <w:rPr>
                <w:rFonts w:ascii="Times New Roman" w:hAnsi="Times New Roman" w:eastAsia="仿宋_GB2312"/>
                <w:sz w:val="20"/>
                <w:szCs w:val="20"/>
              </w:rPr>
            </w:pPr>
            <w:r>
              <w:rPr>
                <w:rFonts w:hint="eastAsia" w:ascii="Times New Roman" w:hAnsi="Times New Roman" w:eastAsia="仿宋_GB2312"/>
                <w:sz w:val="20"/>
                <w:szCs w:val="20"/>
              </w:rPr>
              <w:t>4.71</w:t>
            </w:r>
            <w:r>
              <w:rPr>
                <w:rFonts w:ascii="Times New Roman" w:hAnsi="Times New Roman" w:eastAsia="仿宋_GB2312"/>
                <w:sz w:val="20"/>
                <w:szCs w:val="20"/>
              </w:rPr>
              <w:t>　</w:t>
            </w:r>
          </w:p>
        </w:tc>
        <w:tc>
          <w:tcPr>
            <w:tcW w:w="2222" w:type="dxa"/>
            <w:gridSpan w:val="2"/>
            <w:noWrap w:val="0"/>
            <w:vAlign w:val="center"/>
          </w:tcPr>
          <w:p>
            <w:pPr>
              <w:jc w:val="center"/>
              <w:rPr>
                <w:rFonts w:ascii="Times New Roman" w:hAnsi="Times New Roman" w:eastAsia="仿宋_GB2312"/>
                <w:sz w:val="20"/>
                <w:szCs w:val="20"/>
              </w:rPr>
            </w:pPr>
            <w:r>
              <w:rPr>
                <w:rFonts w:hint="eastAsia" w:ascii="Times New Roman" w:hAnsi="Times New Roman" w:eastAsia="仿宋_GB2312"/>
                <w:sz w:val="20"/>
                <w:szCs w:val="20"/>
              </w:rPr>
              <w:t>10.3</w:t>
            </w:r>
            <w:r>
              <w:rPr>
                <w:rFonts w:ascii="Times New Roman" w:hAnsi="Times New Roman" w:eastAsia="仿宋_GB2312"/>
                <w:sz w:val="20"/>
                <w:szCs w:val="20"/>
              </w:rPr>
              <w:t>　</w:t>
            </w:r>
          </w:p>
        </w:tc>
        <w:tc>
          <w:tcPr>
            <w:tcW w:w="1890" w:type="dxa"/>
            <w:gridSpan w:val="2"/>
            <w:noWrap w:val="0"/>
            <w:vAlign w:val="center"/>
          </w:tcPr>
          <w:p>
            <w:pPr>
              <w:jc w:val="center"/>
              <w:rPr>
                <w:rFonts w:ascii="Times New Roman" w:hAnsi="Times New Roman" w:eastAsia="仿宋_GB2312"/>
                <w:sz w:val="20"/>
                <w:szCs w:val="20"/>
              </w:rPr>
            </w:pPr>
            <w:r>
              <w:rPr>
                <w:rFonts w:hint="eastAsia" w:ascii="Times New Roman" w:hAnsi="Times New Roman" w:eastAsia="仿宋_GB2312"/>
                <w:sz w:val="20"/>
                <w:szCs w:val="20"/>
              </w:rPr>
              <w:t>0.73</w:t>
            </w:r>
            <w:r>
              <w:rPr>
                <w:rFonts w:ascii="Times New Roman" w:hAnsi="Times New Roman" w:eastAsia="仿宋_GB2312"/>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3400" w:type="dxa"/>
            <w:noWrap w:val="0"/>
            <w:vAlign w:val="center"/>
          </w:tcPr>
          <w:p>
            <w:pPr>
              <w:ind w:firstLine="200" w:firstLineChars="100"/>
              <w:jc w:val="left"/>
              <w:rPr>
                <w:rFonts w:ascii="Times New Roman" w:hAnsi="Times New Roman" w:eastAsia="仿宋_GB2312"/>
                <w:sz w:val="20"/>
                <w:szCs w:val="20"/>
              </w:rPr>
            </w:pPr>
            <w:r>
              <w:rPr>
                <w:rFonts w:ascii="Times New Roman" w:hAnsi="Times New Roman" w:eastAsia="仿宋_GB2312"/>
                <w:sz w:val="20"/>
                <w:szCs w:val="20"/>
              </w:rPr>
              <w:t>1、公务用车购置和维护经费</w:t>
            </w:r>
          </w:p>
        </w:tc>
        <w:tc>
          <w:tcPr>
            <w:tcW w:w="1846" w:type="dxa"/>
            <w:gridSpan w:val="2"/>
            <w:noWrap w:val="0"/>
            <w:vAlign w:val="center"/>
          </w:tcPr>
          <w:p>
            <w:pPr>
              <w:jc w:val="center"/>
              <w:rPr>
                <w:rFonts w:ascii="Times New Roman" w:hAnsi="Times New Roman" w:eastAsia="仿宋_GB2312"/>
                <w:sz w:val="20"/>
                <w:szCs w:val="20"/>
              </w:rPr>
            </w:pPr>
            <w:r>
              <w:rPr>
                <w:rFonts w:hint="eastAsia" w:ascii="Times New Roman" w:hAnsi="Times New Roman" w:eastAsia="仿宋_GB2312"/>
                <w:sz w:val="20"/>
                <w:szCs w:val="20"/>
              </w:rPr>
              <w:t>4.05</w:t>
            </w:r>
            <w:r>
              <w:rPr>
                <w:rFonts w:ascii="Times New Roman" w:hAnsi="Times New Roman" w:eastAsia="仿宋_GB2312"/>
                <w:sz w:val="20"/>
                <w:szCs w:val="20"/>
              </w:rPr>
              <w:t>　</w:t>
            </w:r>
          </w:p>
        </w:tc>
        <w:tc>
          <w:tcPr>
            <w:tcW w:w="2222" w:type="dxa"/>
            <w:gridSpan w:val="2"/>
            <w:noWrap w:val="0"/>
            <w:vAlign w:val="center"/>
          </w:tcPr>
          <w:p>
            <w:pPr>
              <w:jc w:val="center"/>
              <w:rPr>
                <w:rFonts w:ascii="Times New Roman" w:hAnsi="Times New Roman" w:eastAsia="仿宋_GB2312"/>
                <w:sz w:val="20"/>
                <w:szCs w:val="20"/>
              </w:rPr>
            </w:pPr>
            <w:r>
              <w:rPr>
                <w:rFonts w:hint="eastAsia" w:ascii="Times New Roman" w:hAnsi="Times New Roman" w:eastAsia="仿宋_GB2312"/>
                <w:sz w:val="20"/>
                <w:szCs w:val="20"/>
              </w:rPr>
              <w:t>5.55</w:t>
            </w:r>
            <w:r>
              <w:rPr>
                <w:rFonts w:ascii="Times New Roman" w:hAnsi="Times New Roman" w:eastAsia="仿宋_GB2312"/>
                <w:sz w:val="20"/>
                <w:szCs w:val="20"/>
              </w:rPr>
              <w:t>　</w:t>
            </w:r>
          </w:p>
        </w:tc>
        <w:tc>
          <w:tcPr>
            <w:tcW w:w="1890" w:type="dxa"/>
            <w:gridSpan w:val="2"/>
            <w:noWrap w:val="0"/>
            <w:vAlign w:val="center"/>
          </w:tcPr>
          <w:p>
            <w:pPr>
              <w:jc w:val="center"/>
              <w:rPr>
                <w:rFonts w:ascii="Times New Roman" w:hAnsi="Times New Roman" w:eastAsia="仿宋_GB2312"/>
                <w:sz w:val="20"/>
                <w:szCs w:val="20"/>
              </w:rPr>
            </w:pPr>
            <w:r>
              <w:rPr>
                <w:rFonts w:hint="eastAsia" w:ascii="Times New Roman" w:hAnsi="Times New Roman" w:eastAsia="仿宋_GB2312"/>
                <w:sz w:val="20"/>
                <w:szCs w:val="20"/>
              </w:rPr>
              <w:t>0.26</w:t>
            </w:r>
            <w:r>
              <w:rPr>
                <w:rFonts w:ascii="Times New Roman" w:hAnsi="Times New Roman" w:eastAsia="仿宋_GB2312"/>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3400" w:type="dxa"/>
            <w:noWrap w:val="0"/>
            <w:vAlign w:val="center"/>
          </w:tcPr>
          <w:p>
            <w:pPr>
              <w:jc w:val="left"/>
              <w:rPr>
                <w:rFonts w:ascii="Times New Roman" w:hAnsi="Times New Roman" w:eastAsia="仿宋_GB2312"/>
                <w:sz w:val="20"/>
                <w:szCs w:val="20"/>
              </w:rPr>
            </w:pPr>
            <w:r>
              <w:rPr>
                <w:rFonts w:ascii="Times New Roman" w:hAnsi="Times New Roman" w:eastAsia="仿宋_GB2312"/>
                <w:sz w:val="20"/>
                <w:szCs w:val="20"/>
              </w:rPr>
              <w:t>其中：公车购置</w:t>
            </w:r>
          </w:p>
        </w:tc>
        <w:tc>
          <w:tcPr>
            <w:tcW w:w="1846" w:type="dxa"/>
            <w:gridSpan w:val="2"/>
            <w:noWrap w:val="0"/>
            <w:vAlign w:val="center"/>
          </w:tcPr>
          <w:p>
            <w:pPr>
              <w:jc w:val="center"/>
              <w:rPr>
                <w:rFonts w:hint="eastAsia" w:ascii="Times New Roman" w:hAnsi="Times New Roman" w:eastAsia="仿宋_GB2312"/>
                <w:sz w:val="20"/>
                <w:szCs w:val="20"/>
              </w:rPr>
            </w:pPr>
            <w:r>
              <w:rPr>
                <w:rFonts w:ascii="Times New Roman" w:hAnsi="Times New Roman" w:eastAsia="仿宋_GB2312"/>
                <w:sz w:val="20"/>
                <w:szCs w:val="20"/>
              </w:rPr>
              <w:t>　</w:t>
            </w:r>
            <w:r>
              <w:rPr>
                <w:rFonts w:hint="eastAsia" w:ascii="Times New Roman" w:hAnsi="Times New Roman" w:eastAsia="仿宋_GB2312"/>
                <w:sz w:val="20"/>
                <w:szCs w:val="20"/>
              </w:rPr>
              <w:t>0</w:t>
            </w:r>
          </w:p>
        </w:tc>
        <w:tc>
          <w:tcPr>
            <w:tcW w:w="2222" w:type="dxa"/>
            <w:gridSpan w:val="2"/>
            <w:noWrap w:val="0"/>
            <w:vAlign w:val="center"/>
          </w:tcPr>
          <w:p>
            <w:pPr>
              <w:jc w:val="center"/>
              <w:rPr>
                <w:rFonts w:hint="eastAsia" w:ascii="Times New Roman" w:hAnsi="Times New Roman" w:eastAsia="仿宋_GB2312"/>
                <w:sz w:val="20"/>
                <w:szCs w:val="20"/>
              </w:rPr>
            </w:pPr>
            <w:r>
              <w:rPr>
                <w:rFonts w:ascii="Times New Roman" w:hAnsi="Times New Roman" w:eastAsia="仿宋_GB2312"/>
                <w:sz w:val="20"/>
                <w:szCs w:val="20"/>
              </w:rPr>
              <w:t>　</w:t>
            </w:r>
            <w:r>
              <w:rPr>
                <w:rFonts w:hint="eastAsia" w:ascii="Times New Roman" w:hAnsi="Times New Roman" w:eastAsia="仿宋_GB2312"/>
                <w:sz w:val="20"/>
                <w:szCs w:val="20"/>
              </w:rPr>
              <w:t>0</w:t>
            </w:r>
          </w:p>
        </w:tc>
        <w:tc>
          <w:tcPr>
            <w:tcW w:w="1890" w:type="dxa"/>
            <w:gridSpan w:val="2"/>
            <w:noWrap w:val="0"/>
            <w:vAlign w:val="center"/>
          </w:tcPr>
          <w:p>
            <w:pPr>
              <w:jc w:val="center"/>
              <w:rPr>
                <w:rFonts w:hint="eastAsia" w:ascii="Times New Roman" w:hAnsi="Times New Roman" w:eastAsia="仿宋_GB2312"/>
                <w:sz w:val="20"/>
                <w:szCs w:val="20"/>
              </w:rPr>
            </w:pPr>
            <w:r>
              <w:rPr>
                <w:rFonts w:ascii="Times New Roman" w:hAnsi="Times New Roman" w:eastAsia="仿宋_GB2312"/>
                <w:sz w:val="20"/>
                <w:szCs w:val="20"/>
              </w:rPr>
              <w:t>　</w:t>
            </w:r>
            <w:r>
              <w:rPr>
                <w:rFonts w:hint="eastAsia" w:ascii="Times New Roman" w:hAnsi="Times New Roman" w:eastAsia="仿宋_GB2312"/>
                <w:sz w:val="20"/>
                <w:szCs w:val="20"/>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3400" w:type="dxa"/>
            <w:noWrap w:val="0"/>
            <w:vAlign w:val="center"/>
          </w:tcPr>
          <w:p>
            <w:pPr>
              <w:jc w:val="left"/>
              <w:rPr>
                <w:rFonts w:ascii="Times New Roman" w:hAnsi="Times New Roman" w:eastAsia="仿宋_GB2312"/>
                <w:sz w:val="20"/>
                <w:szCs w:val="20"/>
              </w:rPr>
            </w:pPr>
            <w:r>
              <w:rPr>
                <w:rFonts w:ascii="Times New Roman" w:hAnsi="Times New Roman" w:eastAsia="仿宋_GB2312"/>
                <w:sz w:val="20"/>
                <w:szCs w:val="20"/>
              </w:rPr>
              <w:t xml:space="preserve">      公车运行维护</w:t>
            </w:r>
          </w:p>
        </w:tc>
        <w:tc>
          <w:tcPr>
            <w:tcW w:w="1846" w:type="dxa"/>
            <w:gridSpan w:val="2"/>
            <w:noWrap w:val="0"/>
            <w:vAlign w:val="center"/>
          </w:tcPr>
          <w:p>
            <w:pPr>
              <w:jc w:val="center"/>
              <w:rPr>
                <w:rFonts w:ascii="Times New Roman" w:hAnsi="Times New Roman" w:eastAsia="仿宋_GB2312"/>
                <w:sz w:val="20"/>
                <w:szCs w:val="20"/>
              </w:rPr>
            </w:pPr>
            <w:r>
              <w:rPr>
                <w:rFonts w:hint="eastAsia" w:ascii="Times New Roman" w:hAnsi="Times New Roman" w:eastAsia="仿宋_GB2312"/>
                <w:sz w:val="20"/>
                <w:szCs w:val="20"/>
              </w:rPr>
              <w:t>4.05</w:t>
            </w:r>
            <w:r>
              <w:rPr>
                <w:rFonts w:ascii="Times New Roman" w:hAnsi="Times New Roman" w:eastAsia="仿宋_GB2312"/>
                <w:sz w:val="20"/>
                <w:szCs w:val="20"/>
              </w:rPr>
              <w:t>　</w:t>
            </w:r>
          </w:p>
        </w:tc>
        <w:tc>
          <w:tcPr>
            <w:tcW w:w="2222" w:type="dxa"/>
            <w:gridSpan w:val="2"/>
            <w:noWrap w:val="0"/>
            <w:vAlign w:val="center"/>
          </w:tcPr>
          <w:p>
            <w:pPr>
              <w:jc w:val="center"/>
              <w:rPr>
                <w:rFonts w:ascii="Times New Roman" w:hAnsi="Times New Roman" w:eastAsia="仿宋_GB2312"/>
                <w:sz w:val="20"/>
                <w:szCs w:val="20"/>
              </w:rPr>
            </w:pPr>
            <w:r>
              <w:rPr>
                <w:rFonts w:hint="eastAsia" w:ascii="Times New Roman" w:hAnsi="Times New Roman" w:eastAsia="仿宋_GB2312"/>
                <w:sz w:val="20"/>
                <w:szCs w:val="20"/>
              </w:rPr>
              <w:t>5.55</w:t>
            </w:r>
            <w:r>
              <w:rPr>
                <w:rFonts w:ascii="Times New Roman" w:hAnsi="Times New Roman" w:eastAsia="仿宋_GB2312"/>
                <w:sz w:val="20"/>
                <w:szCs w:val="20"/>
              </w:rPr>
              <w:t>　</w:t>
            </w:r>
          </w:p>
        </w:tc>
        <w:tc>
          <w:tcPr>
            <w:tcW w:w="1890" w:type="dxa"/>
            <w:gridSpan w:val="2"/>
            <w:noWrap w:val="0"/>
            <w:vAlign w:val="center"/>
          </w:tcPr>
          <w:p>
            <w:pPr>
              <w:jc w:val="center"/>
              <w:rPr>
                <w:rFonts w:ascii="Times New Roman" w:hAnsi="Times New Roman" w:eastAsia="仿宋_GB2312"/>
                <w:sz w:val="20"/>
                <w:szCs w:val="20"/>
              </w:rPr>
            </w:pPr>
            <w:r>
              <w:rPr>
                <w:rFonts w:hint="eastAsia" w:ascii="Times New Roman" w:hAnsi="Times New Roman" w:eastAsia="仿宋_GB2312"/>
                <w:sz w:val="20"/>
                <w:szCs w:val="20"/>
              </w:rPr>
              <w:t>0.26</w:t>
            </w:r>
            <w:r>
              <w:rPr>
                <w:rFonts w:ascii="Times New Roman" w:hAnsi="Times New Roman" w:eastAsia="仿宋_GB2312"/>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3400" w:type="dxa"/>
            <w:noWrap w:val="0"/>
            <w:vAlign w:val="center"/>
          </w:tcPr>
          <w:p>
            <w:pPr>
              <w:jc w:val="left"/>
              <w:rPr>
                <w:rFonts w:ascii="Times New Roman" w:hAnsi="Times New Roman" w:eastAsia="仿宋_GB2312"/>
                <w:sz w:val="20"/>
                <w:szCs w:val="20"/>
              </w:rPr>
            </w:pPr>
            <w:r>
              <w:rPr>
                <w:rFonts w:ascii="Times New Roman" w:hAnsi="Times New Roman" w:eastAsia="仿宋_GB2312"/>
                <w:sz w:val="20"/>
                <w:szCs w:val="20"/>
              </w:rPr>
              <w:t xml:space="preserve">  2、出国经费</w:t>
            </w:r>
          </w:p>
        </w:tc>
        <w:tc>
          <w:tcPr>
            <w:tcW w:w="1846" w:type="dxa"/>
            <w:gridSpan w:val="2"/>
            <w:noWrap w:val="0"/>
            <w:vAlign w:val="center"/>
          </w:tcPr>
          <w:p>
            <w:pPr>
              <w:jc w:val="center"/>
              <w:rPr>
                <w:rFonts w:hint="eastAsia" w:ascii="Times New Roman" w:hAnsi="Times New Roman" w:eastAsia="仿宋_GB2312"/>
                <w:sz w:val="20"/>
                <w:szCs w:val="20"/>
              </w:rPr>
            </w:pPr>
            <w:r>
              <w:rPr>
                <w:rFonts w:hint="eastAsia" w:ascii="Times New Roman" w:hAnsi="Times New Roman" w:eastAsia="仿宋_GB2312"/>
                <w:sz w:val="20"/>
                <w:szCs w:val="20"/>
              </w:rPr>
              <w:t>0</w:t>
            </w:r>
          </w:p>
        </w:tc>
        <w:tc>
          <w:tcPr>
            <w:tcW w:w="2222" w:type="dxa"/>
            <w:gridSpan w:val="2"/>
            <w:noWrap w:val="0"/>
            <w:vAlign w:val="center"/>
          </w:tcPr>
          <w:p>
            <w:pPr>
              <w:jc w:val="center"/>
              <w:rPr>
                <w:rFonts w:hint="eastAsia" w:ascii="Times New Roman" w:hAnsi="Times New Roman" w:eastAsia="仿宋_GB2312"/>
                <w:sz w:val="20"/>
                <w:szCs w:val="20"/>
              </w:rPr>
            </w:pPr>
            <w:r>
              <w:rPr>
                <w:rFonts w:hint="eastAsia" w:ascii="Times New Roman" w:hAnsi="Times New Roman" w:eastAsia="仿宋_GB2312"/>
                <w:sz w:val="20"/>
                <w:szCs w:val="20"/>
              </w:rPr>
              <w:t>0</w:t>
            </w:r>
          </w:p>
        </w:tc>
        <w:tc>
          <w:tcPr>
            <w:tcW w:w="1890" w:type="dxa"/>
            <w:gridSpan w:val="2"/>
            <w:noWrap w:val="0"/>
            <w:vAlign w:val="center"/>
          </w:tcPr>
          <w:p>
            <w:pPr>
              <w:jc w:val="center"/>
              <w:rPr>
                <w:rFonts w:hint="eastAsia" w:ascii="Times New Roman" w:hAnsi="Times New Roman" w:eastAsia="仿宋_GB2312"/>
                <w:sz w:val="20"/>
                <w:szCs w:val="20"/>
              </w:rPr>
            </w:pPr>
            <w:r>
              <w:rPr>
                <w:rFonts w:hint="eastAsia" w:ascii="Times New Roman" w:hAnsi="Times New Roman" w:eastAsia="仿宋_GB2312"/>
                <w:sz w:val="20"/>
                <w:szCs w:val="20"/>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3400" w:type="dxa"/>
            <w:noWrap w:val="0"/>
            <w:vAlign w:val="center"/>
          </w:tcPr>
          <w:p>
            <w:pPr>
              <w:jc w:val="left"/>
              <w:rPr>
                <w:rFonts w:ascii="Times New Roman" w:hAnsi="Times New Roman" w:eastAsia="仿宋_GB2312"/>
                <w:sz w:val="20"/>
                <w:szCs w:val="20"/>
              </w:rPr>
            </w:pPr>
            <w:r>
              <w:rPr>
                <w:rFonts w:ascii="Times New Roman" w:hAnsi="Times New Roman" w:eastAsia="仿宋_GB2312"/>
                <w:sz w:val="20"/>
                <w:szCs w:val="20"/>
              </w:rPr>
              <w:t xml:space="preserve">  3、公务接待</w:t>
            </w:r>
          </w:p>
        </w:tc>
        <w:tc>
          <w:tcPr>
            <w:tcW w:w="1846" w:type="dxa"/>
            <w:gridSpan w:val="2"/>
            <w:noWrap w:val="0"/>
            <w:vAlign w:val="center"/>
          </w:tcPr>
          <w:p>
            <w:pPr>
              <w:jc w:val="center"/>
              <w:rPr>
                <w:rFonts w:ascii="Times New Roman" w:hAnsi="Times New Roman" w:eastAsia="仿宋_GB2312"/>
                <w:sz w:val="20"/>
                <w:szCs w:val="20"/>
              </w:rPr>
            </w:pPr>
            <w:r>
              <w:rPr>
                <w:rFonts w:hint="eastAsia" w:ascii="Times New Roman" w:hAnsi="Times New Roman" w:eastAsia="仿宋_GB2312"/>
                <w:sz w:val="20"/>
                <w:szCs w:val="20"/>
              </w:rPr>
              <w:t>0.66</w:t>
            </w:r>
          </w:p>
        </w:tc>
        <w:tc>
          <w:tcPr>
            <w:tcW w:w="2222" w:type="dxa"/>
            <w:gridSpan w:val="2"/>
            <w:noWrap w:val="0"/>
            <w:vAlign w:val="center"/>
          </w:tcPr>
          <w:p>
            <w:pPr>
              <w:jc w:val="center"/>
              <w:rPr>
                <w:rFonts w:ascii="Times New Roman" w:hAnsi="Times New Roman" w:eastAsia="仿宋_GB2312"/>
                <w:sz w:val="20"/>
                <w:szCs w:val="20"/>
              </w:rPr>
            </w:pPr>
            <w:r>
              <w:rPr>
                <w:rFonts w:hint="eastAsia" w:ascii="Times New Roman" w:hAnsi="Times New Roman" w:eastAsia="仿宋_GB2312"/>
                <w:sz w:val="20"/>
                <w:szCs w:val="20"/>
              </w:rPr>
              <w:t>4.75</w:t>
            </w:r>
          </w:p>
        </w:tc>
        <w:tc>
          <w:tcPr>
            <w:tcW w:w="1890" w:type="dxa"/>
            <w:gridSpan w:val="2"/>
            <w:noWrap w:val="0"/>
            <w:vAlign w:val="center"/>
          </w:tcPr>
          <w:p>
            <w:pPr>
              <w:jc w:val="center"/>
              <w:rPr>
                <w:rFonts w:ascii="Times New Roman" w:hAnsi="Times New Roman" w:eastAsia="仿宋_GB2312"/>
                <w:sz w:val="20"/>
                <w:szCs w:val="20"/>
              </w:rPr>
            </w:pPr>
            <w:r>
              <w:rPr>
                <w:rFonts w:hint="eastAsia" w:ascii="Times New Roman" w:hAnsi="Times New Roman" w:eastAsia="仿宋_GB2312"/>
                <w:sz w:val="20"/>
                <w:szCs w:val="20"/>
              </w:rPr>
              <w:t>0.47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3400" w:type="dxa"/>
            <w:noWrap w:val="0"/>
            <w:vAlign w:val="center"/>
          </w:tcPr>
          <w:p>
            <w:pPr>
              <w:jc w:val="left"/>
              <w:rPr>
                <w:rFonts w:ascii="Times New Roman" w:hAnsi="Times New Roman" w:eastAsia="仿宋_GB2312"/>
                <w:sz w:val="20"/>
                <w:szCs w:val="20"/>
              </w:rPr>
            </w:pPr>
            <w:r>
              <w:rPr>
                <w:rFonts w:ascii="Times New Roman" w:hAnsi="Times New Roman" w:eastAsia="仿宋_GB2312"/>
                <w:sz w:val="20"/>
                <w:szCs w:val="20"/>
              </w:rPr>
              <w:t>二、部门项目支出</w:t>
            </w:r>
          </w:p>
        </w:tc>
        <w:tc>
          <w:tcPr>
            <w:tcW w:w="1846" w:type="dxa"/>
            <w:gridSpan w:val="2"/>
            <w:noWrap w:val="0"/>
            <w:vAlign w:val="center"/>
          </w:tcPr>
          <w:p>
            <w:pPr>
              <w:jc w:val="center"/>
              <w:rPr>
                <w:rFonts w:ascii="Times New Roman" w:hAnsi="Times New Roman" w:eastAsia="仿宋_GB2312"/>
                <w:sz w:val="20"/>
                <w:szCs w:val="20"/>
              </w:rPr>
            </w:pPr>
            <w:r>
              <w:rPr>
                <w:rFonts w:hint="eastAsia" w:ascii="Times New Roman" w:hAnsi="Times New Roman" w:eastAsia="仿宋_GB2312"/>
                <w:sz w:val="20"/>
                <w:szCs w:val="20"/>
              </w:rPr>
              <w:t>525</w:t>
            </w:r>
          </w:p>
        </w:tc>
        <w:tc>
          <w:tcPr>
            <w:tcW w:w="2222" w:type="dxa"/>
            <w:gridSpan w:val="2"/>
            <w:noWrap w:val="0"/>
            <w:vAlign w:val="center"/>
          </w:tcPr>
          <w:p>
            <w:pPr>
              <w:jc w:val="center"/>
              <w:rPr>
                <w:rFonts w:ascii="Times New Roman" w:hAnsi="Times New Roman" w:eastAsia="仿宋_GB2312"/>
                <w:sz w:val="20"/>
                <w:szCs w:val="20"/>
              </w:rPr>
            </w:pPr>
            <w:r>
              <w:rPr>
                <w:rFonts w:hint="eastAsia" w:ascii="Times New Roman" w:hAnsi="Times New Roman" w:eastAsia="仿宋_GB2312"/>
                <w:sz w:val="20"/>
                <w:szCs w:val="20"/>
              </w:rPr>
              <w:t>1011.1</w:t>
            </w:r>
          </w:p>
        </w:tc>
        <w:tc>
          <w:tcPr>
            <w:tcW w:w="1890" w:type="dxa"/>
            <w:gridSpan w:val="2"/>
            <w:noWrap w:val="0"/>
            <w:vAlign w:val="center"/>
          </w:tcPr>
          <w:p>
            <w:pPr>
              <w:jc w:val="center"/>
              <w:rPr>
                <w:rFonts w:ascii="Times New Roman" w:hAnsi="Times New Roman" w:eastAsia="仿宋_GB2312"/>
                <w:sz w:val="20"/>
                <w:szCs w:val="20"/>
              </w:rPr>
            </w:pPr>
            <w:r>
              <w:rPr>
                <w:rFonts w:hint="eastAsia" w:ascii="Times New Roman" w:hAnsi="Times New Roman" w:eastAsia="仿宋_GB2312"/>
                <w:sz w:val="20"/>
                <w:szCs w:val="20"/>
              </w:rPr>
              <w:t>988.45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3400" w:type="dxa"/>
            <w:noWrap w:val="0"/>
            <w:vAlign w:val="center"/>
          </w:tcPr>
          <w:p>
            <w:pPr>
              <w:jc w:val="left"/>
              <w:rPr>
                <w:rFonts w:ascii="Times New Roman" w:hAnsi="Times New Roman" w:eastAsia="仿宋_GB2312"/>
                <w:sz w:val="20"/>
                <w:szCs w:val="20"/>
              </w:rPr>
            </w:pPr>
            <w:r>
              <w:rPr>
                <w:rFonts w:ascii="Times New Roman" w:hAnsi="Times New Roman" w:eastAsia="仿宋_GB2312"/>
                <w:sz w:val="20"/>
                <w:szCs w:val="20"/>
              </w:rPr>
              <w:t xml:space="preserve">  1、业务工作经费（一个项目一行）</w:t>
            </w:r>
          </w:p>
        </w:tc>
        <w:tc>
          <w:tcPr>
            <w:tcW w:w="1846" w:type="dxa"/>
            <w:gridSpan w:val="2"/>
            <w:noWrap w:val="0"/>
            <w:vAlign w:val="center"/>
          </w:tcPr>
          <w:p>
            <w:pPr>
              <w:jc w:val="center"/>
              <w:rPr>
                <w:rFonts w:hint="eastAsia" w:ascii="Times New Roman" w:hAnsi="Times New Roman" w:eastAsia="仿宋_GB2312"/>
                <w:sz w:val="20"/>
                <w:szCs w:val="20"/>
              </w:rPr>
            </w:pPr>
            <w:r>
              <w:rPr>
                <w:rFonts w:hint="eastAsia" w:ascii="Times New Roman" w:hAnsi="Times New Roman" w:eastAsia="仿宋_GB2312"/>
                <w:sz w:val="20"/>
                <w:szCs w:val="20"/>
              </w:rPr>
              <w:t>0</w:t>
            </w:r>
          </w:p>
        </w:tc>
        <w:tc>
          <w:tcPr>
            <w:tcW w:w="2222" w:type="dxa"/>
            <w:gridSpan w:val="2"/>
            <w:noWrap w:val="0"/>
            <w:vAlign w:val="center"/>
          </w:tcPr>
          <w:p>
            <w:pPr>
              <w:jc w:val="center"/>
              <w:rPr>
                <w:rFonts w:hint="default" w:ascii="Times New Roman" w:hAnsi="Times New Roman" w:eastAsia="仿宋_GB2312"/>
                <w:sz w:val="20"/>
                <w:szCs w:val="20"/>
                <w:lang w:val="en-US" w:eastAsia="zh-CN"/>
              </w:rPr>
            </w:pPr>
            <w:r>
              <w:rPr>
                <w:rFonts w:hint="eastAsia" w:ascii="Times New Roman" w:hAnsi="Times New Roman" w:eastAsia="仿宋_GB2312"/>
                <w:sz w:val="20"/>
                <w:szCs w:val="20"/>
                <w:lang w:val="en-US" w:eastAsia="zh-CN"/>
              </w:rPr>
              <w:t>384.89</w:t>
            </w:r>
          </w:p>
        </w:tc>
        <w:tc>
          <w:tcPr>
            <w:tcW w:w="1890" w:type="dxa"/>
            <w:gridSpan w:val="2"/>
            <w:noWrap w:val="0"/>
            <w:vAlign w:val="center"/>
          </w:tcPr>
          <w:p>
            <w:pPr>
              <w:jc w:val="center"/>
              <w:rPr>
                <w:rFonts w:hint="default" w:ascii="Times New Roman" w:hAnsi="Times New Roman" w:eastAsia="仿宋_GB2312"/>
                <w:sz w:val="20"/>
                <w:szCs w:val="20"/>
                <w:lang w:val="en-US" w:eastAsia="zh-CN"/>
              </w:rPr>
            </w:pPr>
            <w:r>
              <w:rPr>
                <w:rFonts w:hint="eastAsia" w:ascii="Times New Roman" w:hAnsi="Times New Roman" w:eastAsia="仿宋_GB2312"/>
                <w:sz w:val="20"/>
                <w:szCs w:val="20"/>
                <w:lang w:val="en-US" w:eastAsia="zh-CN"/>
              </w:rPr>
              <w:t>384.89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3400" w:type="dxa"/>
            <w:noWrap w:val="0"/>
            <w:vAlign w:val="center"/>
          </w:tcPr>
          <w:p>
            <w:pPr>
              <w:rPr>
                <w:rFonts w:hint="eastAsia" w:ascii="Times New Roman" w:hAnsi="Times New Roman" w:eastAsia="仿宋_GB2312" w:cs="Times New Roman"/>
                <w:sz w:val="20"/>
                <w:szCs w:val="20"/>
                <w:lang w:val="en-US" w:eastAsia="zh-CN" w:bidi="ar-SA"/>
              </w:rPr>
            </w:pPr>
            <w:r>
              <w:rPr>
                <w:rFonts w:hint="eastAsia" w:ascii="Times New Roman" w:hAnsi="Times New Roman" w:eastAsia="仿宋_GB2312" w:cs="Times New Roman"/>
                <w:sz w:val="20"/>
                <w:szCs w:val="20"/>
              </w:rPr>
              <w:t>①庆祝建党100周年活动资金</w:t>
            </w:r>
          </w:p>
        </w:tc>
        <w:tc>
          <w:tcPr>
            <w:tcW w:w="1846" w:type="dxa"/>
            <w:gridSpan w:val="2"/>
            <w:noWrap w:val="0"/>
            <w:vAlign w:val="center"/>
          </w:tcPr>
          <w:p>
            <w:pPr>
              <w:jc w:val="center"/>
              <w:rPr>
                <w:rFonts w:hint="eastAsia" w:ascii="Times New Roman" w:hAnsi="Times New Roman" w:eastAsia="仿宋_GB2312"/>
                <w:sz w:val="20"/>
                <w:szCs w:val="20"/>
                <w:lang w:val="en-US" w:eastAsia="zh-CN" w:bidi="ar-SA"/>
              </w:rPr>
            </w:pPr>
            <w:r>
              <w:rPr>
                <w:rFonts w:hint="eastAsia" w:ascii="Times New Roman" w:hAnsi="Times New Roman" w:eastAsia="仿宋_GB2312"/>
                <w:sz w:val="20"/>
                <w:szCs w:val="20"/>
              </w:rPr>
              <w:t>0</w:t>
            </w:r>
            <w:r>
              <w:rPr>
                <w:rFonts w:ascii="Times New Roman" w:hAnsi="Times New Roman" w:eastAsia="仿宋_GB2312"/>
                <w:sz w:val="20"/>
                <w:szCs w:val="20"/>
              </w:rPr>
              <w:t>　</w:t>
            </w:r>
          </w:p>
        </w:tc>
        <w:tc>
          <w:tcPr>
            <w:tcW w:w="2222" w:type="dxa"/>
            <w:gridSpan w:val="2"/>
            <w:noWrap w:val="0"/>
            <w:vAlign w:val="center"/>
          </w:tcPr>
          <w:p>
            <w:pPr>
              <w:jc w:val="center"/>
              <w:rPr>
                <w:rFonts w:hint="eastAsia" w:ascii="Times New Roman" w:hAnsi="Times New Roman" w:eastAsia="仿宋_GB2312"/>
                <w:sz w:val="20"/>
                <w:szCs w:val="20"/>
                <w:lang w:val="en-US" w:eastAsia="zh-CN" w:bidi="ar-SA"/>
              </w:rPr>
            </w:pPr>
            <w:r>
              <w:rPr>
                <w:rFonts w:hint="eastAsia" w:ascii="Times New Roman" w:hAnsi="Times New Roman" w:eastAsia="仿宋_GB2312"/>
                <w:sz w:val="20"/>
                <w:szCs w:val="20"/>
              </w:rPr>
              <w:t>73.69</w:t>
            </w:r>
            <w:r>
              <w:rPr>
                <w:rFonts w:ascii="Times New Roman" w:hAnsi="Times New Roman" w:eastAsia="仿宋_GB2312"/>
                <w:sz w:val="20"/>
                <w:szCs w:val="20"/>
              </w:rPr>
              <w:t>　</w:t>
            </w:r>
          </w:p>
        </w:tc>
        <w:tc>
          <w:tcPr>
            <w:tcW w:w="1890" w:type="dxa"/>
            <w:gridSpan w:val="2"/>
            <w:noWrap w:val="0"/>
            <w:vAlign w:val="center"/>
          </w:tcPr>
          <w:p>
            <w:pPr>
              <w:jc w:val="center"/>
              <w:rPr>
                <w:rFonts w:hint="eastAsia" w:ascii="Times New Roman" w:hAnsi="Times New Roman" w:eastAsia="仿宋_GB2312"/>
                <w:sz w:val="20"/>
                <w:szCs w:val="20"/>
                <w:lang w:val="en-US" w:eastAsia="zh-CN" w:bidi="ar-SA"/>
              </w:rPr>
            </w:pPr>
            <w:r>
              <w:rPr>
                <w:rFonts w:hint="eastAsia" w:ascii="Times New Roman" w:hAnsi="Times New Roman" w:eastAsia="仿宋_GB2312"/>
                <w:sz w:val="20"/>
                <w:szCs w:val="20"/>
              </w:rPr>
              <w:t>73.69</w:t>
            </w:r>
            <w:r>
              <w:rPr>
                <w:rFonts w:ascii="Times New Roman" w:hAnsi="Times New Roman" w:eastAsia="仿宋_GB2312"/>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3400" w:type="dxa"/>
            <w:noWrap w:val="0"/>
            <w:vAlign w:val="center"/>
          </w:tcPr>
          <w:p>
            <w:pPr>
              <w:rPr>
                <w:rFonts w:hint="eastAsia" w:ascii="Times New Roman" w:hAnsi="Times New Roman" w:eastAsia="仿宋_GB2312" w:cs="Times New Roman"/>
                <w:sz w:val="20"/>
                <w:szCs w:val="20"/>
                <w:lang w:val="en-US" w:eastAsia="zh-CN" w:bidi="ar-SA"/>
              </w:rPr>
            </w:pPr>
            <w:r>
              <w:rPr>
                <w:rFonts w:hint="eastAsia" w:ascii="Times New Roman" w:hAnsi="Times New Roman" w:eastAsia="仿宋_GB2312" w:cs="Times New Roman"/>
                <w:sz w:val="20"/>
                <w:szCs w:val="20"/>
              </w:rPr>
              <w:t>②湘南起义纪念园提质改造前期经费、红色文化旅游标志标牌和智慧旅游建设工程</w:t>
            </w:r>
          </w:p>
        </w:tc>
        <w:tc>
          <w:tcPr>
            <w:tcW w:w="1846" w:type="dxa"/>
            <w:gridSpan w:val="2"/>
            <w:noWrap w:val="0"/>
            <w:vAlign w:val="center"/>
          </w:tcPr>
          <w:p>
            <w:pPr>
              <w:jc w:val="center"/>
              <w:rPr>
                <w:rFonts w:hint="eastAsia" w:ascii="Times New Roman" w:hAnsi="Times New Roman" w:eastAsia="仿宋_GB2312"/>
                <w:sz w:val="20"/>
                <w:szCs w:val="20"/>
                <w:lang w:val="en-US" w:eastAsia="zh-CN" w:bidi="ar-SA"/>
              </w:rPr>
            </w:pPr>
            <w:r>
              <w:rPr>
                <w:rFonts w:hint="eastAsia" w:ascii="Times New Roman" w:hAnsi="Times New Roman" w:eastAsia="仿宋_GB2312"/>
                <w:sz w:val="20"/>
                <w:szCs w:val="20"/>
              </w:rPr>
              <w:t>0</w:t>
            </w:r>
          </w:p>
        </w:tc>
        <w:tc>
          <w:tcPr>
            <w:tcW w:w="2222" w:type="dxa"/>
            <w:gridSpan w:val="2"/>
            <w:noWrap w:val="0"/>
            <w:vAlign w:val="center"/>
          </w:tcPr>
          <w:p>
            <w:pPr>
              <w:jc w:val="center"/>
              <w:rPr>
                <w:rFonts w:hint="eastAsia" w:ascii="Times New Roman" w:hAnsi="Times New Roman" w:eastAsia="仿宋_GB2312"/>
                <w:sz w:val="20"/>
                <w:szCs w:val="20"/>
                <w:lang w:val="en-US" w:eastAsia="zh-CN" w:bidi="ar-SA"/>
              </w:rPr>
            </w:pPr>
            <w:r>
              <w:rPr>
                <w:rFonts w:hint="eastAsia" w:ascii="Times New Roman" w:hAnsi="Times New Roman" w:eastAsia="仿宋_GB2312"/>
                <w:sz w:val="20"/>
                <w:szCs w:val="20"/>
              </w:rPr>
              <w:t>89.2</w:t>
            </w:r>
          </w:p>
        </w:tc>
        <w:tc>
          <w:tcPr>
            <w:tcW w:w="1890" w:type="dxa"/>
            <w:gridSpan w:val="2"/>
            <w:noWrap w:val="0"/>
            <w:vAlign w:val="center"/>
          </w:tcPr>
          <w:p>
            <w:pPr>
              <w:jc w:val="center"/>
              <w:rPr>
                <w:rFonts w:hint="eastAsia" w:ascii="Times New Roman" w:hAnsi="Times New Roman" w:eastAsia="仿宋_GB2312"/>
                <w:sz w:val="20"/>
                <w:szCs w:val="20"/>
                <w:lang w:val="en-US" w:eastAsia="zh-CN" w:bidi="ar-SA"/>
              </w:rPr>
            </w:pPr>
            <w:r>
              <w:rPr>
                <w:rFonts w:hint="eastAsia" w:ascii="Times New Roman" w:hAnsi="Times New Roman" w:eastAsia="仿宋_GB2312"/>
                <w:sz w:val="20"/>
                <w:szCs w:val="20"/>
              </w:rPr>
              <w:t>89.2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3400" w:type="dxa"/>
            <w:noWrap w:val="0"/>
            <w:vAlign w:val="center"/>
          </w:tcPr>
          <w:p>
            <w:pPr>
              <w:rPr>
                <w:rFonts w:hint="eastAsia" w:ascii="Times New Roman" w:hAnsi="Times New Roman" w:eastAsia="仿宋_GB2312"/>
                <w:sz w:val="20"/>
                <w:szCs w:val="20"/>
                <w:lang w:val="en-US" w:eastAsia="zh-CN" w:bidi="ar-SA"/>
              </w:rPr>
            </w:pPr>
            <w:r>
              <w:rPr>
                <w:rFonts w:hint="eastAsia" w:ascii="Times New Roman" w:hAnsi="Times New Roman" w:eastAsia="仿宋_GB2312"/>
                <w:sz w:val="20"/>
                <w:szCs w:val="20"/>
              </w:rPr>
              <w:t>③湘南起义旧址-郴县苏维埃政府（陈家大屋保护)修缮、消防及安防工程</w:t>
            </w:r>
          </w:p>
        </w:tc>
        <w:tc>
          <w:tcPr>
            <w:tcW w:w="1846" w:type="dxa"/>
            <w:gridSpan w:val="2"/>
            <w:noWrap w:val="0"/>
            <w:vAlign w:val="center"/>
          </w:tcPr>
          <w:p>
            <w:pPr>
              <w:jc w:val="center"/>
              <w:rPr>
                <w:rFonts w:hint="eastAsia" w:ascii="Times New Roman" w:hAnsi="Times New Roman" w:eastAsia="仿宋_GB2312"/>
                <w:sz w:val="20"/>
                <w:szCs w:val="20"/>
                <w:lang w:val="en-US" w:eastAsia="zh-CN" w:bidi="ar-SA"/>
              </w:rPr>
            </w:pPr>
            <w:r>
              <w:rPr>
                <w:rFonts w:hint="eastAsia" w:ascii="Times New Roman" w:hAnsi="Times New Roman" w:eastAsia="仿宋_GB2312"/>
                <w:sz w:val="20"/>
                <w:szCs w:val="20"/>
                <w:lang w:val="en-US" w:eastAsia="zh-CN"/>
              </w:rPr>
              <w:t>0</w:t>
            </w:r>
          </w:p>
        </w:tc>
        <w:tc>
          <w:tcPr>
            <w:tcW w:w="2222" w:type="dxa"/>
            <w:gridSpan w:val="2"/>
            <w:noWrap w:val="0"/>
            <w:vAlign w:val="center"/>
          </w:tcPr>
          <w:p>
            <w:pPr>
              <w:jc w:val="center"/>
              <w:rPr>
                <w:rFonts w:hint="eastAsia" w:ascii="Times New Roman" w:hAnsi="Times New Roman" w:eastAsia="仿宋_GB2312"/>
                <w:sz w:val="20"/>
                <w:szCs w:val="20"/>
                <w:lang w:val="en-US" w:eastAsia="zh-CN" w:bidi="ar-SA"/>
              </w:rPr>
            </w:pPr>
            <w:r>
              <w:rPr>
                <w:rFonts w:hint="eastAsia" w:ascii="Times New Roman" w:hAnsi="Times New Roman" w:eastAsia="仿宋_GB2312"/>
                <w:sz w:val="20"/>
                <w:szCs w:val="20"/>
              </w:rPr>
              <w:t>130.25</w:t>
            </w:r>
          </w:p>
        </w:tc>
        <w:tc>
          <w:tcPr>
            <w:tcW w:w="1890" w:type="dxa"/>
            <w:gridSpan w:val="2"/>
            <w:noWrap w:val="0"/>
            <w:vAlign w:val="center"/>
          </w:tcPr>
          <w:p>
            <w:pPr>
              <w:jc w:val="center"/>
              <w:rPr>
                <w:rFonts w:hint="eastAsia" w:ascii="Times New Roman" w:hAnsi="Times New Roman" w:eastAsia="仿宋_GB2312"/>
                <w:sz w:val="20"/>
                <w:szCs w:val="20"/>
                <w:lang w:val="en-US" w:eastAsia="zh-CN" w:bidi="ar-SA"/>
              </w:rPr>
            </w:pPr>
            <w:r>
              <w:rPr>
                <w:rFonts w:hint="eastAsia" w:ascii="Times New Roman" w:hAnsi="Times New Roman" w:eastAsia="仿宋_GB2312"/>
                <w:sz w:val="20"/>
                <w:szCs w:val="20"/>
              </w:rPr>
              <w:t>130.25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3400" w:type="dxa"/>
            <w:noWrap w:val="0"/>
            <w:vAlign w:val="center"/>
          </w:tcPr>
          <w:p>
            <w:pPr>
              <w:rPr>
                <w:rFonts w:hint="eastAsia" w:ascii="Times New Roman" w:hAnsi="Times New Roman" w:eastAsia="仿宋_GB2312" w:cs="Times New Roman"/>
                <w:sz w:val="20"/>
                <w:szCs w:val="20"/>
                <w:lang w:val="en-US" w:eastAsia="zh-CN" w:bidi="ar-SA"/>
              </w:rPr>
            </w:pPr>
            <w:r>
              <w:rPr>
                <w:rFonts w:hint="eastAsia" w:ascii="Times New Roman" w:hAnsi="Times New Roman" w:eastAsia="仿宋_GB2312" w:cs="Times New Roman"/>
                <w:sz w:val="20"/>
                <w:szCs w:val="20"/>
              </w:rPr>
              <w:t>④湘南起义纪念馆布展及消防工程</w:t>
            </w:r>
          </w:p>
        </w:tc>
        <w:tc>
          <w:tcPr>
            <w:tcW w:w="1846" w:type="dxa"/>
            <w:gridSpan w:val="2"/>
            <w:noWrap w:val="0"/>
            <w:vAlign w:val="center"/>
          </w:tcPr>
          <w:p>
            <w:pPr>
              <w:jc w:val="center"/>
              <w:rPr>
                <w:rFonts w:hint="eastAsia" w:ascii="Times New Roman" w:hAnsi="Times New Roman" w:eastAsia="仿宋_GB2312"/>
                <w:sz w:val="20"/>
                <w:szCs w:val="20"/>
                <w:lang w:val="en-US" w:eastAsia="zh-CN" w:bidi="ar-SA"/>
              </w:rPr>
            </w:pPr>
            <w:r>
              <w:rPr>
                <w:rFonts w:hint="eastAsia" w:ascii="Times New Roman" w:hAnsi="Times New Roman" w:eastAsia="仿宋_GB2312"/>
                <w:sz w:val="20"/>
                <w:szCs w:val="20"/>
                <w:lang w:val="en-US" w:eastAsia="zh-CN"/>
              </w:rPr>
              <w:t>0</w:t>
            </w:r>
          </w:p>
        </w:tc>
        <w:tc>
          <w:tcPr>
            <w:tcW w:w="2222" w:type="dxa"/>
            <w:gridSpan w:val="2"/>
            <w:noWrap w:val="0"/>
            <w:vAlign w:val="center"/>
          </w:tcPr>
          <w:p>
            <w:pPr>
              <w:jc w:val="center"/>
              <w:rPr>
                <w:rFonts w:hint="eastAsia" w:ascii="Times New Roman" w:hAnsi="Times New Roman" w:eastAsia="仿宋_GB2312"/>
                <w:sz w:val="20"/>
                <w:szCs w:val="20"/>
                <w:lang w:val="en-US" w:eastAsia="zh-CN" w:bidi="ar-SA"/>
              </w:rPr>
            </w:pPr>
            <w:r>
              <w:rPr>
                <w:rFonts w:hint="eastAsia" w:ascii="Times New Roman" w:hAnsi="Times New Roman" w:eastAsia="仿宋_GB2312"/>
                <w:sz w:val="20"/>
                <w:szCs w:val="20"/>
              </w:rPr>
              <w:t>91.75</w:t>
            </w:r>
          </w:p>
        </w:tc>
        <w:tc>
          <w:tcPr>
            <w:tcW w:w="1890" w:type="dxa"/>
            <w:gridSpan w:val="2"/>
            <w:noWrap w:val="0"/>
            <w:vAlign w:val="center"/>
          </w:tcPr>
          <w:p>
            <w:pPr>
              <w:jc w:val="center"/>
              <w:rPr>
                <w:rFonts w:hint="eastAsia" w:ascii="Times New Roman" w:hAnsi="Times New Roman" w:eastAsia="仿宋_GB2312"/>
                <w:sz w:val="20"/>
                <w:szCs w:val="20"/>
                <w:lang w:val="en-US" w:eastAsia="zh-CN" w:bidi="ar-SA"/>
              </w:rPr>
            </w:pPr>
            <w:r>
              <w:rPr>
                <w:rFonts w:hint="eastAsia" w:ascii="Times New Roman" w:hAnsi="Times New Roman" w:eastAsia="仿宋_GB2312"/>
                <w:sz w:val="20"/>
                <w:szCs w:val="20"/>
              </w:rPr>
              <w:t>91.75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3400" w:type="dxa"/>
            <w:noWrap w:val="0"/>
            <w:vAlign w:val="center"/>
          </w:tcPr>
          <w:p>
            <w:pPr>
              <w:ind w:firstLine="200" w:firstLineChars="100"/>
              <w:jc w:val="left"/>
              <w:rPr>
                <w:rFonts w:ascii="Times New Roman" w:hAnsi="Times New Roman" w:eastAsia="仿宋_GB2312"/>
                <w:sz w:val="20"/>
                <w:szCs w:val="20"/>
              </w:rPr>
            </w:pPr>
            <w:r>
              <w:rPr>
                <w:rFonts w:ascii="Times New Roman" w:hAnsi="Times New Roman" w:eastAsia="仿宋_GB2312"/>
                <w:sz w:val="20"/>
                <w:szCs w:val="20"/>
              </w:rPr>
              <w:t>2、运行维护经费（一个专项一行）</w:t>
            </w:r>
          </w:p>
        </w:tc>
        <w:tc>
          <w:tcPr>
            <w:tcW w:w="1846" w:type="dxa"/>
            <w:gridSpan w:val="2"/>
            <w:noWrap w:val="0"/>
            <w:vAlign w:val="center"/>
          </w:tcPr>
          <w:p>
            <w:pPr>
              <w:jc w:val="center"/>
              <w:rPr>
                <w:rFonts w:ascii="Times New Roman" w:hAnsi="Times New Roman" w:eastAsia="仿宋_GB2312"/>
                <w:sz w:val="20"/>
                <w:szCs w:val="20"/>
              </w:rPr>
            </w:pPr>
            <w:r>
              <w:rPr>
                <w:rFonts w:hint="eastAsia" w:ascii="Times New Roman" w:hAnsi="Times New Roman" w:eastAsia="仿宋_GB2312"/>
                <w:sz w:val="20"/>
                <w:szCs w:val="20"/>
              </w:rPr>
              <w:t>525</w:t>
            </w:r>
            <w:r>
              <w:rPr>
                <w:rFonts w:ascii="Times New Roman" w:hAnsi="Times New Roman" w:eastAsia="仿宋_GB2312"/>
                <w:sz w:val="20"/>
                <w:szCs w:val="20"/>
              </w:rPr>
              <w:t>　</w:t>
            </w:r>
          </w:p>
        </w:tc>
        <w:tc>
          <w:tcPr>
            <w:tcW w:w="2222" w:type="dxa"/>
            <w:gridSpan w:val="2"/>
            <w:noWrap w:val="0"/>
            <w:vAlign w:val="center"/>
          </w:tcPr>
          <w:p>
            <w:pPr>
              <w:jc w:val="center"/>
              <w:rPr>
                <w:rFonts w:ascii="Times New Roman" w:hAnsi="Times New Roman" w:eastAsia="仿宋_GB2312"/>
                <w:sz w:val="20"/>
                <w:szCs w:val="20"/>
              </w:rPr>
            </w:pPr>
            <w:r>
              <w:rPr>
                <w:rFonts w:hint="eastAsia" w:ascii="Times New Roman" w:hAnsi="Times New Roman" w:eastAsia="仿宋_GB2312"/>
                <w:sz w:val="20"/>
                <w:szCs w:val="20"/>
              </w:rPr>
              <w:t>626.21</w:t>
            </w:r>
            <w:r>
              <w:rPr>
                <w:rFonts w:ascii="Times New Roman" w:hAnsi="Times New Roman" w:eastAsia="仿宋_GB2312"/>
                <w:sz w:val="20"/>
                <w:szCs w:val="20"/>
              </w:rPr>
              <w:t>　</w:t>
            </w:r>
          </w:p>
        </w:tc>
        <w:tc>
          <w:tcPr>
            <w:tcW w:w="1890" w:type="dxa"/>
            <w:gridSpan w:val="2"/>
            <w:noWrap w:val="0"/>
            <w:vAlign w:val="center"/>
          </w:tcPr>
          <w:p>
            <w:pPr>
              <w:jc w:val="center"/>
              <w:rPr>
                <w:rFonts w:ascii="Times New Roman" w:hAnsi="Times New Roman" w:eastAsia="仿宋_GB2312"/>
                <w:sz w:val="20"/>
                <w:szCs w:val="20"/>
              </w:rPr>
            </w:pPr>
            <w:r>
              <w:rPr>
                <w:rFonts w:hint="eastAsia" w:ascii="Times New Roman" w:hAnsi="Times New Roman" w:eastAsia="仿宋_GB2312"/>
                <w:sz w:val="20"/>
                <w:szCs w:val="20"/>
              </w:rPr>
              <w:t>603.56</w:t>
            </w:r>
            <w:r>
              <w:rPr>
                <w:rFonts w:ascii="Times New Roman" w:hAnsi="Times New Roman" w:eastAsia="仿宋_GB2312"/>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3400" w:type="dxa"/>
            <w:noWrap w:val="0"/>
            <w:vAlign w:val="center"/>
          </w:tcPr>
          <w:p>
            <w:pPr>
              <w:rPr>
                <w:rFonts w:hint="eastAsia" w:ascii="Times New Roman" w:hAnsi="Times New Roman" w:eastAsia="仿宋_GB2312"/>
                <w:sz w:val="20"/>
                <w:szCs w:val="20"/>
                <w:lang w:eastAsia="zh-CN"/>
              </w:rPr>
            </w:pPr>
            <w:r>
              <w:rPr>
                <w:rFonts w:hint="eastAsia" w:ascii="Times New Roman" w:hAnsi="Times New Roman" w:eastAsia="仿宋_GB2312"/>
                <w:sz w:val="20"/>
                <w:szCs w:val="20"/>
              </w:rPr>
              <w:t>①</w:t>
            </w:r>
            <w:r>
              <w:rPr>
                <w:rFonts w:hint="eastAsia" w:ascii="Times New Roman" w:hAnsi="Times New Roman" w:eastAsia="仿宋_GB2312"/>
                <w:sz w:val="20"/>
                <w:szCs w:val="20"/>
                <w:lang w:eastAsia="zh-CN"/>
              </w:rPr>
              <w:t>运行维护经费</w:t>
            </w:r>
          </w:p>
        </w:tc>
        <w:tc>
          <w:tcPr>
            <w:tcW w:w="1846" w:type="dxa"/>
            <w:gridSpan w:val="2"/>
            <w:noWrap w:val="0"/>
            <w:vAlign w:val="center"/>
          </w:tcPr>
          <w:p>
            <w:pPr>
              <w:jc w:val="center"/>
              <w:rPr>
                <w:rFonts w:hint="default" w:eastAsia="仿宋" w:cs="仿宋"/>
                <w:sz w:val="18"/>
                <w:szCs w:val="18"/>
                <w:lang w:val="en-US" w:eastAsia="zh-CN"/>
              </w:rPr>
            </w:pPr>
            <w:r>
              <w:rPr>
                <w:rFonts w:hint="eastAsia" w:eastAsia="仿宋" w:cs="仿宋"/>
                <w:sz w:val="18"/>
                <w:szCs w:val="18"/>
                <w:lang w:val="en-US" w:eastAsia="zh-CN"/>
              </w:rPr>
              <w:t>525</w:t>
            </w:r>
          </w:p>
        </w:tc>
        <w:tc>
          <w:tcPr>
            <w:tcW w:w="2222" w:type="dxa"/>
            <w:gridSpan w:val="2"/>
            <w:noWrap w:val="0"/>
            <w:vAlign w:val="center"/>
          </w:tcPr>
          <w:p>
            <w:pPr>
              <w:jc w:val="center"/>
              <w:rPr>
                <w:rFonts w:hint="default" w:eastAsia="仿宋" w:cs="仿宋"/>
                <w:sz w:val="18"/>
                <w:szCs w:val="18"/>
                <w:lang w:val="en-US" w:eastAsia="zh-CN"/>
              </w:rPr>
            </w:pPr>
            <w:r>
              <w:rPr>
                <w:rFonts w:hint="eastAsia" w:eastAsia="仿宋" w:cs="仿宋"/>
                <w:sz w:val="18"/>
                <w:szCs w:val="18"/>
                <w:lang w:val="en-US" w:eastAsia="zh-CN"/>
              </w:rPr>
              <w:t>626.21</w:t>
            </w:r>
          </w:p>
        </w:tc>
        <w:tc>
          <w:tcPr>
            <w:tcW w:w="1890" w:type="dxa"/>
            <w:gridSpan w:val="2"/>
            <w:noWrap w:val="0"/>
            <w:vAlign w:val="center"/>
          </w:tcPr>
          <w:p>
            <w:pPr>
              <w:jc w:val="center"/>
              <w:rPr>
                <w:rFonts w:hint="default" w:eastAsia="仿宋" w:cs="仿宋"/>
                <w:sz w:val="18"/>
                <w:szCs w:val="18"/>
                <w:lang w:val="en-US" w:eastAsia="zh-CN"/>
              </w:rPr>
            </w:pPr>
            <w:r>
              <w:rPr>
                <w:rFonts w:hint="eastAsia" w:eastAsia="仿宋" w:cs="仿宋"/>
                <w:sz w:val="18"/>
                <w:szCs w:val="18"/>
                <w:lang w:val="en-US" w:eastAsia="zh-CN"/>
              </w:rPr>
              <w:t>603.56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3400" w:type="dxa"/>
            <w:noWrap w:val="0"/>
            <w:vAlign w:val="center"/>
          </w:tcPr>
          <w:p>
            <w:pPr>
              <w:jc w:val="left"/>
              <w:rPr>
                <w:rFonts w:ascii="Times New Roman" w:hAnsi="Times New Roman" w:eastAsia="仿宋_GB2312"/>
                <w:sz w:val="20"/>
                <w:szCs w:val="20"/>
              </w:rPr>
            </w:pPr>
            <w:r>
              <w:rPr>
                <w:rFonts w:ascii="Times New Roman" w:hAnsi="Times New Roman" w:eastAsia="仿宋_GB2312"/>
                <w:sz w:val="20"/>
                <w:szCs w:val="20"/>
              </w:rPr>
              <w:t xml:space="preserve">  3、市级专项资金（一个项目一行）  </w:t>
            </w:r>
          </w:p>
        </w:tc>
        <w:tc>
          <w:tcPr>
            <w:tcW w:w="1846" w:type="dxa"/>
            <w:gridSpan w:val="2"/>
            <w:noWrap w:val="0"/>
            <w:vAlign w:val="center"/>
          </w:tcPr>
          <w:p>
            <w:pPr>
              <w:jc w:val="center"/>
              <w:rPr>
                <w:rFonts w:hint="eastAsia" w:ascii="Times New Roman" w:hAnsi="Times New Roman" w:eastAsia="仿宋_GB2312"/>
                <w:sz w:val="20"/>
                <w:szCs w:val="20"/>
              </w:rPr>
            </w:pPr>
            <w:r>
              <w:rPr>
                <w:rFonts w:hint="eastAsia" w:ascii="Times New Roman" w:hAnsi="Times New Roman" w:eastAsia="仿宋_GB2312"/>
                <w:sz w:val="20"/>
                <w:szCs w:val="20"/>
              </w:rPr>
              <w:t>-</w:t>
            </w:r>
          </w:p>
        </w:tc>
        <w:tc>
          <w:tcPr>
            <w:tcW w:w="2222" w:type="dxa"/>
            <w:gridSpan w:val="2"/>
            <w:noWrap w:val="0"/>
            <w:vAlign w:val="center"/>
          </w:tcPr>
          <w:p>
            <w:pPr>
              <w:jc w:val="center"/>
              <w:rPr>
                <w:rFonts w:hint="eastAsia" w:ascii="Times New Roman" w:hAnsi="Times New Roman" w:eastAsia="仿宋_GB2312"/>
                <w:sz w:val="20"/>
                <w:szCs w:val="20"/>
                <w:lang w:val="en-US" w:eastAsia="zh-CN"/>
              </w:rPr>
            </w:pPr>
            <w:r>
              <w:rPr>
                <w:rFonts w:hint="eastAsia" w:ascii="Times New Roman" w:hAnsi="Times New Roman" w:eastAsia="仿宋_GB2312"/>
                <w:sz w:val="20"/>
                <w:szCs w:val="20"/>
                <w:lang w:val="en-US" w:eastAsia="zh-CN"/>
              </w:rPr>
              <w:t>0</w:t>
            </w:r>
          </w:p>
        </w:tc>
        <w:tc>
          <w:tcPr>
            <w:tcW w:w="1890" w:type="dxa"/>
            <w:gridSpan w:val="2"/>
            <w:noWrap w:val="0"/>
            <w:vAlign w:val="center"/>
          </w:tcPr>
          <w:p>
            <w:pPr>
              <w:jc w:val="center"/>
              <w:rPr>
                <w:rFonts w:hint="eastAsia" w:ascii="Times New Roman" w:hAnsi="Times New Roman" w:eastAsia="仿宋_GB2312"/>
                <w:sz w:val="20"/>
                <w:szCs w:val="20"/>
                <w:lang w:val="en-US" w:eastAsia="zh-CN"/>
              </w:rPr>
            </w:pPr>
            <w:r>
              <w:rPr>
                <w:rFonts w:hint="eastAsia" w:ascii="Times New Roman" w:hAnsi="Times New Roman" w:eastAsia="仿宋_GB2312"/>
                <w:sz w:val="20"/>
                <w:szCs w:val="20"/>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3400" w:type="dxa"/>
            <w:noWrap w:val="0"/>
            <w:vAlign w:val="center"/>
          </w:tcPr>
          <w:p>
            <w:pPr>
              <w:rPr>
                <w:rFonts w:hint="eastAsia" w:ascii="Times New Roman" w:hAnsi="Times New Roman" w:eastAsia="仿宋_GB2312" w:cs="Times New Roman"/>
                <w:sz w:val="20"/>
                <w:szCs w:val="20"/>
              </w:rPr>
            </w:pPr>
            <w:r>
              <w:rPr>
                <w:rFonts w:hint="eastAsia" w:ascii="Times New Roman" w:hAnsi="Times New Roman" w:eastAsia="仿宋_GB2312" w:cs="Times New Roman"/>
                <w:sz w:val="20"/>
                <w:szCs w:val="20"/>
              </w:rPr>
              <w:t>政府采购金额</w:t>
            </w:r>
          </w:p>
        </w:tc>
        <w:tc>
          <w:tcPr>
            <w:tcW w:w="1846" w:type="dxa"/>
            <w:gridSpan w:val="2"/>
            <w:noWrap w:val="0"/>
            <w:vAlign w:val="center"/>
          </w:tcPr>
          <w:p>
            <w:pPr>
              <w:jc w:val="center"/>
              <w:rPr>
                <w:rFonts w:ascii="Times New Roman" w:hAnsi="Times New Roman" w:eastAsia="仿宋_GB2312"/>
                <w:sz w:val="20"/>
                <w:szCs w:val="20"/>
              </w:rPr>
            </w:pPr>
            <w:r>
              <w:rPr>
                <w:rFonts w:ascii="Times New Roman" w:hAnsi="Times New Roman" w:eastAsia="仿宋_GB2312"/>
                <w:sz w:val="20"/>
                <w:szCs w:val="20"/>
              </w:rPr>
              <w:t>——</w:t>
            </w:r>
          </w:p>
        </w:tc>
        <w:tc>
          <w:tcPr>
            <w:tcW w:w="2222" w:type="dxa"/>
            <w:gridSpan w:val="2"/>
            <w:noWrap w:val="0"/>
            <w:vAlign w:val="center"/>
          </w:tcPr>
          <w:p>
            <w:pPr>
              <w:jc w:val="center"/>
              <w:rPr>
                <w:rFonts w:ascii="Times New Roman" w:hAnsi="Times New Roman" w:eastAsia="仿宋_GB2312"/>
                <w:sz w:val="20"/>
                <w:szCs w:val="20"/>
              </w:rPr>
            </w:pPr>
            <w:r>
              <w:rPr>
                <w:rFonts w:hint="eastAsia" w:ascii="Times New Roman" w:hAnsi="Times New Roman" w:eastAsia="仿宋_GB2312"/>
                <w:sz w:val="20"/>
                <w:szCs w:val="20"/>
              </w:rPr>
              <w:t>0</w:t>
            </w:r>
          </w:p>
        </w:tc>
        <w:tc>
          <w:tcPr>
            <w:tcW w:w="1890" w:type="dxa"/>
            <w:gridSpan w:val="2"/>
            <w:noWrap w:val="0"/>
            <w:vAlign w:val="center"/>
          </w:tcPr>
          <w:p>
            <w:pPr>
              <w:jc w:val="center"/>
              <w:rPr>
                <w:rFonts w:ascii="Times New Roman" w:hAnsi="Times New Roman" w:eastAsia="仿宋_GB2312"/>
                <w:sz w:val="20"/>
                <w:szCs w:val="20"/>
              </w:rPr>
            </w:pPr>
            <w:r>
              <w:rPr>
                <w:rFonts w:hint="eastAsia" w:ascii="Times New Roman" w:hAnsi="Times New Roman" w:eastAsia="仿宋_GB2312"/>
                <w:sz w:val="20"/>
                <w:szCs w:val="20"/>
              </w:rPr>
              <w:t>0</w:t>
            </w:r>
            <w:r>
              <w:rPr>
                <w:rFonts w:ascii="Times New Roman" w:hAnsi="Times New Roman" w:eastAsia="仿宋_GB2312"/>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3400" w:type="dxa"/>
            <w:noWrap w:val="0"/>
            <w:vAlign w:val="center"/>
          </w:tcPr>
          <w:p>
            <w:pPr>
              <w:jc w:val="left"/>
              <w:rPr>
                <w:rFonts w:ascii="Times New Roman" w:hAnsi="Times New Roman" w:eastAsia="仿宋_GB2312"/>
                <w:sz w:val="20"/>
                <w:szCs w:val="20"/>
              </w:rPr>
            </w:pPr>
            <w:r>
              <w:rPr>
                <w:rFonts w:ascii="Times New Roman" w:hAnsi="Times New Roman" w:eastAsia="仿宋_GB2312"/>
                <w:sz w:val="20"/>
                <w:szCs w:val="20"/>
              </w:rPr>
              <w:t xml:space="preserve">部门基本支出预算调整 </w:t>
            </w:r>
          </w:p>
        </w:tc>
        <w:tc>
          <w:tcPr>
            <w:tcW w:w="1846" w:type="dxa"/>
            <w:gridSpan w:val="2"/>
            <w:noWrap w:val="0"/>
            <w:vAlign w:val="center"/>
          </w:tcPr>
          <w:p>
            <w:pPr>
              <w:jc w:val="center"/>
              <w:rPr>
                <w:rFonts w:ascii="Times New Roman" w:hAnsi="Times New Roman" w:eastAsia="仿宋_GB2312"/>
                <w:sz w:val="20"/>
                <w:szCs w:val="20"/>
              </w:rPr>
            </w:pPr>
            <w:r>
              <w:rPr>
                <w:rFonts w:ascii="Times New Roman" w:hAnsi="Times New Roman" w:eastAsia="仿宋_GB2312"/>
                <w:sz w:val="20"/>
                <w:szCs w:val="20"/>
              </w:rPr>
              <w:t>——</w:t>
            </w:r>
          </w:p>
        </w:tc>
        <w:tc>
          <w:tcPr>
            <w:tcW w:w="2222" w:type="dxa"/>
            <w:gridSpan w:val="2"/>
            <w:noWrap w:val="0"/>
            <w:vAlign w:val="center"/>
          </w:tcPr>
          <w:p>
            <w:pPr>
              <w:jc w:val="center"/>
              <w:rPr>
                <w:rFonts w:ascii="Times New Roman" w:hAnsi="Times New Roman" w:eastAsia="仿宋_GB2312"/>
                <w:sz w:val="20"/>
                <w:szCs w:val="20"/>
              </w:rPr>
            </w:pPr>
            <w:r>
              <w:rPr>
                <w:rFonts w:hint="eastAsia" w:ascii="Times New Roman" w:hAnsi="Times New Roman" w:eastAsia="仿宋_GB2312"/>
                <w:sz w:val="20"/>
                <w:szCs w:val="20"/>
              </w:rPr>
              <w:t>78.94</w:t>
            </w:r>
          </w:p>
        </w:tc>
        <w:tc>
          <w:tcPr>
            <w:tcW w:w="1890" w:type="dxa"/>
            <w:gridSpan w:val="2"/>
            <w:noWrap w:val="0"/>
            <w:vAlign w:val="center"/>
          </w:tcPr>
          <w:p>
            <w:pPr>
              <w:jc w:val="center"/>
              <w:rPr>
                <w:rFonts w:ascii="Times New Roman" w:hAnsi="Times New Roman" w:eastAsia="仿宋_GB2312"/>
                <w:sz w:val="20"/>
                <w:szCs w:val="20"/>
              </w:rPr>
            </w:pPr>
            <w:r>
              <w:rPr>
                <w:rFonts w:hint="eastAsia" w:ascii="Times New Roman" w:hAnsi="Times New Roman" w:eastAsia="仿宋_GB2312"/>
                <w:sz w:val="20"/>
                <w:szCs w:val="20"/>
              </w:rPr>
              <w:t>61.92</w:t>
            </w:r>
            <w:r>
              <w:rPr>
                <w:rFonts w:ascii="Times New Roman" w:hAnsi="Times New Roman" w:eastAsia="仿宋_GB2312"/>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0" w:hRule="atLeast"/>
          <w:jc w:val="center"/>
        </w:trPr>
        <w:tc>
          <w:tcPr>
            <w:tcW w:w="3400" w:type="dxa"/>
            <w:vMerge w:val="restart"/>
            <w:noWrap w:val="0"/>
            <w:vAlign w:val="center"/>
          </w:tcPr>
          <w:p>
            <w:pPr>
              <w:jc w:val="center"/>
              <w:rPr>
                <w:rFonts w:ascii="Times New Roman" w:hAnsi="Times New Roman" w:eastAsia="仿宋_GB2312"/>
                <w:sz w:val="20"/>
                <w:szCs w:val="20"/>
              </w:rPr>
            </w:pPr>
            <w:r>
              <w:rPr>
                <w:rFonts w:ascii="Times New Roman" w:hAnsi="Times New Roman" w:eastAsia="仿宋_GB2312"/>
                <w:sz w:val="20"/>
                <w:szCs w:val="20"/>
              </w:rPr>
              <w:t>楼堂馆所控制情况</w:t>
            </w:r>
          </w:p>
          <w:p>
            <w:pPr>
              <w:jc w:val="center"/>
              <w:rPr>
                <w:rFonts w:ascii="Times New Roman" w:hAnsi="Times New Roman" w:eastAsia="仿宋_GB2312"/>
                <w:sz w:val="20"/>
                <w:szCs w:val="20"/>
              </w:rPr>
            </w:pPr>
            <w:r>
              <w:rPr>
                <w:rFonts w:ascii="Times New Roman" w:hAnsi="Times New Roman" w:eastAsia="仿宋_GB2312"/>
                <w:sz w:val="20"/>
                <w:szCs w:val="20"/>
              </w:rPr>
              <w:t>（2021年完工项目）</w:t>
            </w:r>
          </w:p>
        </w:tc>
        <w:tc>
          <w:tcPr>
            <w:tcW w:w="1205" w:type="dxa"/>
            <w:noWrap w:val="0"/>
            <w:vAlign w:val="center"/>
          </w:tcPr>
          <w:p>
            <w:pPr>
              <w:spacing w:line="240" w:lineRule="exact"/>
              <w:jc w:val="center"/>
              <w:rPr>
                <w:rFonts w:ascii="Times New Roman" w:hAnsi="Times New Roman" w:eastAsia="仿宋_GB2312"/>
                <w:bCs/>
                <w:sz w:val="20"/>
                <w:szCs w:val="20"/>
              </w:rPr>
            </w:pPr>
            <w:r>
              <w:rPr>
                <w:rFonts w:ascii="Times New Roman" w:hAnsi="Times New Roman" w:eastAsia="仿宋_GB2312"/>
                <w:bCs/>
                <w:sz w:val="20"/>
                <w:szCs w:val="20"/>
              </w:rPr>
              <w:t>批复规模</w:t>
            </w:r>
          </w:p>
          <w:p>
            <w:pPr>
              <w:spacing w:line="240" w:lineRule="exact"/>
              <w:jc w:val="center"/>
              <w:rPr>
                <w:rFonts w:ascii="Times New Roman" w:hAnsi="Times New Roman" w:eastAsia="仿宋_GB2312"/>
                <w:sz w:val="20"/>
                <w:szCs w:val="20"/>
              </w:rPr>
            </w:pPr>
            <w:r>
              <w:rPr>
                <w:rFonts w:ascii="Times New Roman" w:hAnsi="Times New Roman" w:eastAsia="仿宋_GB2312"/>
                <w:bCs/>
                <w:sz w:val="20"/>
                <w:szCs w:val="20"/>
              </w:rPr>
              <w:t>（</w:t>
            </w:r>
            <w:r>
              <w:rPr>
                <w:rFonts w:ascii="Times New Roman" w:hAnsi="Times New Roman"/>
                <w:bCs/>
                <w:sz w:val="20"/>
                <w:szCs w:val="20"/>
              </w:rPr>
              <w:t>㎡</w:t>
            </w:r>
            <w:r>
              <w:rPr>
                <w:rFonts w:ascii="Times New Roman" w:hAnsi="Times New Roman" w:eastAsia="仿宋_GB2312"/>
                <w:bCs/>
                <w:sz w:val="20"/>
                <w:szCs w:val="20"/>
              </w:rPr>
              <w:t>）</w:t>
            </w:r>
          </w:p>
        </w:tc>
        <w:tc>
          <w:tcPr>
            <w:tcW w:w="641" w:type="dxa"/>
            <w:noWrap w:val="0"/>
            <w:vAlign w:val="center"/>
          </w:tcPr>
          <w:p>
            <w:pPr>
              <w:spacing w:line="240" w:lineRule="exact"/>
              <w:jc w:val="center"/>
              <w:rPr>
                <w:rFonts w:ascii="Times New Roman" w:hAnsi="Times New Roman"/>
              </w:rPr>
            </w:pPr>
            <w:r>
              <w:rPr>
                <w:rFonts w:ascii="Times New Roman" w:hAnsi="Times New Roman" w:eastAsia="仿宋_GB2312"/>
                <w:bCs/>
                <w:sz w:val="20"/>
                <w:szCs w:val="20"/>
              </w:rPr>
              <w:t>实际规模（</w:t>
            </w:r>
            <w:r>
              <w:rPr>
                <w:rFonts w:ascii="Times New Roman" w:hAnsi="Times New Roman"/>
                <w:bCs/>
                <w:sz w:val="20"/>
                <w:szCs w:val="20"/>
              </w:rPr>
              <w:t>㎡</w:t>
            </w:r>
            <w:r>
              <w:rPr>
                <w:rFonts w:ascii="Times New Roman" w:hAnsi="Times New Roman" w:eastAsia="仿宋_GB2312"/>
                <w:bCs/>
                <w:sz w:val="20"/>
                <w:szCs w:val="20"/>
              </w:rPr>
              <w:t>）</w:t>
            </w:r>
          </w:p>
        </w:tc>
        <w:tc>
          <w:tcPr>
            <w:tcW w:w="1144" w:type="dxa"/>
            <w:noWrap w:val="0"/>
            <w:vAlign w:val="center"/>
          </w:tcPr>
          <w:p>
            <w:pPr>
              <w:spacing w:line="240" w:lineRule="exact"/>
              <w:jc w:val="center"/>
              <w:rPr>
                <w:rFonts w:ascii="Times New Roman" w:hAnsi="Times New Roman" w:eastAsia="仿宋_GB2312"/>
                <w:sz w:val="20"/>
                <w:szCs w:val="20"/>
              </w:rPr>
            </w:pPr>
            <w:r>
              <w:rPr>
                <w:rFonts w:ascii="Times New Roman" w:hAnsi="Times New Roman" w:eastAsia="仿宋_GB2312"/>
                <w:bCs/>
                <w:sz w:val="20"/>
                <w:szCs w:val="20"/>
              </w:rPr>
              <w:t>规模控制率</w:t>
            </w:r>
          </w:p>
        </w:tc>
        <w:tc>
          <w:tcPr>
            <w:tcW w:w="1078" w:type="dxa"/>
            <w:noWrap w:val="0"/>
            <w:vAlign w:val="center"/>
          </w:tcPr>
          <w:p>
            <w:pPr>
              <w:spacing w:line="240" w:lineRule="exact"/>
              <w:jc w:val="center"/>
              <w:rPr>
                <w:rFonts w:ascii="Times New Roman" w:hAnsi="Times New Roman"/>
              </w:rPr>
            </w:pPr>
            <w:r>
              <w:rPr>
                <w:rFonts w:ascii="Times New Roman" w:hAnsi="Times New Roman" w:eastAsia="仿宋_GB2312"/>
                <w:bCs/>
                <w:sz w:val="20"/>
                <w:szCs w:val="20"/>
              </w:rPr>
              <w:t>预算投资（万元）</w:t>
            </w:r>
          </w:p>
        </w:tc>
        <w:tc>
          <w:tcPr>
            <w:tcW w:w="1095" w:type="dxa"/>
            <w:noWrap w:val="0"/>
            <w:vAlign w:val="center"/>
          </w:tcPr>
          <w:p>
            <w:pPr>
              <w:spacing w:line="240" w:lineRule="exact"/>
              <w:jc w:val="center"/>
              <w:rPr>
                <w:rFonts w:ascii="Times New Roman" w:hAnsi="Times New Roman" w:eastAsia="仿宋_GB2312"/>
                <w:sz w:val="20"/>
                <w:szCs w:val="20"/>
              </w:rPr>
            </w:pPr>
            <w:r>
              <w:rPr>
                <w:rFonts w:ascii="Times New Roman" w:hAnsi="Times New Roman" w:eastAsia="仿宋_GB2312"/>
                <w:bCs/>
                <w:sz w:val="20"/>
                <w:szCs w:val="20"/>
              </w:rPr>
              <w:t>实际投资（万元）</w:t>
            </w:r>
          </w:p>
        </w:tc>
        <w:tc>
          <w:tcPr>
            <w:tcW w:w="795" w:type="dxa"/>
            <w:noWrap w:val="0"/>
            <w:vAlign w:val="center"/>
          </w:tcPr>
          <w:p>
            <w:pPr>
              <w:spacing w:line="240" w:lineRule="exact"/>
              <w:jc w:val="center"/>
              <w:rPr>
                <w:rFonts w:ascii="Times New Roman" w:hAnsi="Times New Roman"/>
              </w:rPr>
            </w:pPr>
            <w:r>
              <w:rPr>
                <w:rFonts w:ascii="Times New Roman" w:hAnsi="Times New Roman" w:eastAsia="仿宋_GB2312"/>
                <w:bCs/>
                <w:sz w:val="20"/>
                <w:szCs w:val="20"/>
              </w:rPr>
              <w:t>投资概算控制率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4" w:hRule="atLeast"/>
          <w:jc w:val="center"/>
        </w:trPr>
        <w:tc>
          <w:tcPr>
            <w:tcW w:w="3400" w:type="dxa"/>
            <w:vMerge w:val="continue"/>
            <w:noWrap w:val="0"/>
            <w:vAlign w:val="center"/>
          </w:tcPr>
          <w:p>
            <w:pPr>
              <w:jc w:val="left"/>
              <w:rPr>
                <w:rFonts w:ascii="Times New Roman" w:hAnsi="Times New Roman" w:eastAsia="仿宋_GB2312"/>
                <w:sz w:val="20"/>
                <w:szCs w:val="20"/>
              </w:rPr>
            </w:pPr>
          </w:p>
        </w:tc>
        <w:tc>
          <w:tcPr>
            <w:tcW w:w="1205" w:type="dxa"/>
            <w:noWrap w:val="0"/>
            <w:vAlign w:val="center"/>
          </w:tcPr>
          <w:p>
            <w:pPr>
              <w:jc w:val="center"/>
              <w:rPr>
                <w:rFonts w:ascii="Times New Roman" w:hAnsi="Times New Roman" w:eastAsia="仿宋_GB2312"/>
                <w:sz w:val="20"/>
                <w:szCs w:val="20"/>
              </w:rPr>
            </w:pPr>
            <w:r>
              <w:rPr>
                <w:rFonts w:ascii="Times New Roman" w:hAnsi="Times New Roman" w:eastAsia="仿宋_GB2312"/>
                <w:sz w:val="20"/>
                <w:szCs w:val="20"/>
              </w:rPr>
              <w:t>　</w:t>
            </w:r>
          </w:p>
        </w:tc>
        <w:tc>
          <w:tcPr>
            <w:tcW w:w="641" w:type="dxa"/>
            <w:noWrap w:val="0"/>
            <w:vAlign w:val="center"/>
          </w:tcPr>
          <w:p>
            <w:pPr>
              <w:jc w:val="left"/>
              <w:rPr>
                <w:rFonts w:ascii="Times New Roman" w:hAnsi="Times New Roman"/>
              </w:rPr>
            </w:pPr>
            <w:r>
              <w:rPr>
                <w:rFonts w:ascii="Times New Roman" w:hAnsi="Times New Roman" w:eastAsia="仿宋_GB2312"/>
                <w:sz w:val="20"/>
                <w:szCs w:val="20"/>
              </w:rPr>
              <w:t>　</w:t>
            </w:r>
          </w:p>
        </w:tc>
        <w:tc>
          <w:tcPr>
            <w:tcW w:w="1144" w:type="dxa"/>
            <w:noWrap w:val="0"/>
            <w:vAlign w:val="center"/>
          </w:tcPr>
          <w:p>
            <w:pPr>
              <w:jc w:val="left"/>
              <w:rPr>
                <w:rFonts w:ascii="Times New Roman" w:hAnsi="Times New Roman" w:eastAsia="仿宋_GB2312"/>
                <w:sz w:val="20"/>
                <w:szCs w:val="20"/>
              </w:rPr>
            </w:pPr>
            <w:r>
              <w:rPr>
                <w:rFonts w:ascii="Times New Roman" w:hAnsi="Times New Roman" w:eastAsia="仿宋_GB2312"/>
                <w:sz w:val="20"/>
                <w:szCs w:val="20"/>
              </w:rPr>
              <w:t>　</w:t>
            </w:r>
          </w:p>
        </w:tc>
        <w:tc>
          <w:tcPr>
            <w:tcW w:w="1078" w:type="dxa"/>
            <w:noWrap w:val="0"/>
            <w:vAlign w:val="center"/>
          </w:tcPr>
          <w:p>
            <w:pPr>
              <w:jc w:val="left"/>
              <w:rPr>
                <w:rFonts w:ascii="Times New Roman" w:hAnsi="Times New Roman"/>
              </w:rPr>
            </w:pPr>
            <w:r>
              <w:rPr>
                <w:rFonts w:ascii="Times New Roman" w:hAnsi="Times New Roman" w:eastAsia="仿宋_GB2312"/>
                <w:sz w:val="20"/>
                <w:szCs w:val="20"/>
              </w:rPr>
              <w:t>　</w:t>
            </w:r>
          </w:p>
        </w:tc>
        <w:tc>
          <w:tcPr>
            <w:tcW w:w="1095" w:type="dxa"/>
            <w:noWrap w:val="0"/>
            <w:vAlign w:val="center"/>
          </w:tcPr>
          <w:p>
            <w:pPr>
              <w:jc w:val="left"/>
              <w:rPr>
                <w:rFonts w:ascii="Times New Roman" w:hAnsi="Times New Roman" w:eastAsia="仿宋_GB2312"/>
                <w:sz w:val="20"/>
                <w:szCs w:val="20"/>
              </w:rPr>
            </w:pPr>
            <w:r>
              <w:rPr>
                <w:rFonts w:ascii="Times New Roman" w:hAnsi="Times New Roman" w:eastAsia="仿宋_GB2312"/>
                <w:sz w:val="20"/>
                <w:szCs w:val="20"/>
              </w:rPr>
              <w:t>　</w:t>
            </w:r>
          </w:p>
        </w:tc>
        <w:tc>
          <w:tcPr>
            <w:tcW w:w="795" w:type="dxa"/>
            <w:noWrap w:val="0"/>
            <w:vAlign w:val="center"/>
          </w:tcPr>
          <w:p>
            <w:pPr>
              <w:jc w:val="left"/>
              <w:rPr>
                <w:rFonts w:ascii="Times New Roman" w:hAnsi="Times New Roman"/>
              </w:rPr>
            </w:pPr>
            <w:r>
              <w:rPr>
                <w:rFonts w:ascii="Times New Roman" w:hAnsi="Times New Roman" w:eastAsia="仿宋_GB2312"/>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9" w:hRule="atLeast"/>
          <w:jc w:val="center"/>
        </w:trPr>
        <w:tc>
          <w:tcPr>
            <w:tcW w:w="3400" w:type="dxa"/>
            <w:noWrap w:val="0"/>
            <w:vAlign w:val="center"/>
          </w:tcPr>
          <w:p>
            <w:pPr>
              <w:jc w:val="center"/>
              <w:rPr>
                <w:rFonts w:ascii="Times New Roman" w:hAnsi="Times New Roman" w:eastAsia="仿宋_GB2312"/>
                <w:sz w:val="20"/>
                <w:szCs w:val="20"/>
              </w:rPr>
            </w:pPr>
            <w:r>
              <w:rPr>
                <w:rFonts w:ascii="Times New Roman" w:hAnsi="Times New Roman" w:eastAsia="仿宋_GB2312"/>
                <w:sz w:val="20"/>
                <w:szCs w:val="20"/>
              </w:rPr>
              <w:t>厉行节约保障措施</w:t>
            </w:r>
          </w:p>
        </w:tc>
        <w:tc>
          <w:tcPr>
            <w:tcW w:w="5958" w:type="dxa"/>
            <w:gridSpan w:val="6"/>
            <w:noWrap w:val="0"/>
            <w:vAlign w:val="center"/>
          </w:tcPr>
          <w:p>
            <w:pPr>
              <w:jc w:val="left"/>
              <w:rPr>
                <w:rFonts w:ascii="Times New Roman" w:hAnsi="Times New Roman" w:eastAsia="仿宋_GB2312"/>
                <w:sz w:val="20"/>
                <w:szCs w:val="20"/>
              </w:rPr>
            </w:pPr>
            <w:r>
              <w:rPr>
                <w:rFonts w:hint="eastAsia" w:ascii="Times New Roman" w:hAnsi="Times New Roman" w:eastAsia="仿宋_GB2312"/>
                <w:sz w:val="20"/>
                <w:szCs w:val="20"/>
              </w:rPr>
              <w:t>一是减少差旅费支出，主要通过合理安排职工出差的次数以及人数，尽量减少不必要的出差，另外合理控制住宿费标准，对超标准开支费用不予报销。二是减少会议费支出，尽量使用视频会议的方式召开业务工作会议。三是减少办公费，严格控制办公设备配置，新购置办公设备严格执行事前审批制度，对于尚能使用的设备一律不许更换。四是减少水电费支出，倡导干部职工节约用水用电，下班后务必关灯断电。五是减少印刷费支出，倡导全体干部职工尽量无纸化办公。</w:t>
            </w:r>
            <w:r>
              <w:rPr>
                <w:rFonts w:ascii="Times New Roman" w:hAnsi="Times New Roman" w:eastAsia="仿宋_GB2312"/>
                <w:sz w:val="20"/>
                <w:szCs w:val="20"/>
              </w:rPr>
              <w:t>　</w:t>
            </w:r>
          </w:p>
        </w:tc>
      </w:tr>
    </w:tbl>
    <w:p>
      <w:pPr>
        <w:spacing w:line="100" w:lineRule="exact"/>
        <w:jc w:val="left"/>
        <w:rPr>
          <w:rFonts w:ascii="Times New Roman" w:hAnsi="Times New Roman" w:eastAsia="仿宋_GB2312"/>
          <w:sz w:val="22"/>
        </w:rPr>
      </w:pPr>
    </w:p>
    <w:p>
      <w:pPr>
        <w:jc w:val="left"/>
        <w:rPr>
          <w:rFonts w:ascii="Times New Roman" w:hAnsi="Times New Roman" w:eastAsia="仿宋_GB2312"/>
          <w:sz w:val="22"/>
        </w:rPr>
      </w:pPr>
      <w:r>
        <w:rPr>
          <w:rFonts w:ascii="Times New Roman" w:hAnsi="Times New Roman" w:eastAsia="仿宋_GB2312"/>
          <w:sz w:val="22"/>
        </w:rPr>
        <w:t>说明：“项目支出”需要填报基本支出以外的所有项目支出情况，“公用经费”填报基本支出中的一般商品和服务支出。</w:t>
      </w:r>
    </w:p>
    <w:p>
      <w:pPr>
        <w:spacing w:line="100" w:lineRule="exact"/>
        <w:jc w:val="left"/>
        <w:rPr>
          <w:rFonts w:ascii="Times New Roman" w:hAnsi="Times New Roman" w:eastAsia="仿宋_GB2312"/>
          <w:sz w:val="22"/>
        </w:rPr>
      </w:pPr>
    </w:p>
    <w:p>
      <w:pPr>
        <w:rPr>
          <w:rFonts w:hint="eastAsia" w:ascii="Times New Roman" w:hAnsi="Times New Roman" w:eastAsia="仿宋_GB2312"/>
          <w:sz w:val="22"/>
        </w:rPr>
      </w:pPr>
      <w:r>
        <w:rPr>
          <w:rFonts w:ascii="Times New Roman" w:hAnsi="Times New Roman" w:eastAsia="仿宋_GB2312"/>
          <w:sz w:val="22"/>
        </w:rPr>
        <w:t>填表人：</w:t>
      </w:r>
      <w:r>
        <w:rPr>
          <w:rFonts w:hint="eastAsia" w:ascii="Times New Roman" w:hAnsi="Times New Roman" w:eastAsia="仿宋_GB2312"/>
          <w:sz w:val="22"/>
        </w:rPr>
        <w:t>刘青</w:t>
      </w:r>
      <w:r>
        <w:rPr>
          <w:rFonts w:ascii="Times New Roman" w:hAnsi="Times New Roman" w:eastAsia="仿宋_GB2312"/>
          <w:sz w:val="22"/>
        </w:rPr>
        <w:t xml:space="preserve">  填报日期：</w:t>
      </w:r>
      <w:r>
        <w:rPr>
          <w:rFonts w:hint="eastAsia" w:ascii="Times New Roman" w:hAnsi="Times New Roman" w:eastAsia="仿宋_GB2312"/>
          <w:sz w:val="22"/>
        </w:rPr>
        <w:t>2022年4月16日</w:t>
      </w:r>
      <w:r>
        <w:rPr>
          <w:rFonts w:ascii="Times New Roman" w:hAnsi="Times New Roman" w:eastAsia="仿宋_GB2312"/>
          <w:sz w:val="22"/>
        </w:rPr>
        <w:t xml:space="preserve"> 联系电话： </w:t>
      </w:r>
      <w:r>
        <w:rPr>
          <w:rFonts w:hint="eastAsia" w:ascii="Times New Roman" w:hAnsi="Times New Roman" w:eastAsia="仿宋_GB2312"/>
          <w:sz w:val="22"/>
        </w:rPr>
        <w:t>13873563276</w:t>
      </w:r>
      <w:r>
        <w:rPr>
          <w:rFonts w:ascii="Times New Roman" w:hAnsi="Times New Roman" w:eastAsia="仿宋_GB2312"/>
          <w:sz w:val="22"/>
        </w:rPr>
        <w:t xml:space="preserve">  单位负责人签字：</w:t>
      </w:r>
      <w:r>
        <w:rPr>
          <w:rFonts w:hint="eastAsia" w:ascii="Times New Roman" w:hAnsi="Times New Roman" w:eastAsia="仿宋_GB2312"/>
          <w:sz w:val="22"/>
        </w:rPr>
        <w:t>①②③</w:t>
      </w:r>
    </w:p>
    <w:p>
      <w:pPr>
        <w:rPr>
          <w:rFonts w:hint="eastAsia" w:ascii="Times New Roman" w:hAnsi="Times New Roman" w:eastAsia="仿宋_GB2312"/>
          <w:sz w:val="22"/>
        </w:rPr>
      </w:pPr>
    </w:p>
    <w:p>
      <w:pPr>
        <w:spacing w:line="600" w:lineRule="exact"/>
        <w:jc w:val="left"/>
        <w:rPr>
          <w:rFonts w:ascii="Times New Roman" w:hAnsi="Times New Roman" w:eastAsia="黑体"/>
          <w:color w:val="000000"/>
          <w:sz w:val="32"/>
          <w:szCs w:val="32"/>
        </w:rPr>
      </w:pPr>
    </w:p>
    <w:p>
      <w:pPr>
        <w:pStyle w:val="2"/>
        <w:rPr>
          <w:rFonts w:ascii="Times New Roman" w:hAnsi="Times New Roman" w:eastAsia="黑体"/>
          <w:color w:val="000000"/>
          <w:sz w:val="32"/>
          <w:szCs w:val="32"/>
        </w:rPr>
      </w:pPr>
    </w:p>
    <w:p>
      <w:pPr>
        <w:pStyle w:val="2"/>
        <w:rPr>
          <w:rFonts w:ascii="Times New Roman" w:hAnsi="Times New Roman" w:eastAsia="黑体"/>
          <w:color w:val="000000"/>
          <w:sz w:val="32"/>
          <w:szCs w:val="32"/>
        </w:rPr>
      </w:pPr>
    </w:p>
    <w:p>
      <w:pPr>
        <w:pStyle w:val="2"/>
        <w:rPr>
          <w:rFonts w:ascii="Times New Roman" w:hAnsi="Times New Roman" w:eastAsia="黑体"/>
          <w:color w:val="000000"/>
          <w:sz w:val="32"/>
          <w:szCs w:val="32"/>
        </w:rPr>
      </w:pPr>
    </w:p>
    <w:p>
      <w:pPr>
        <w:pStyle w:val="2"/>
        <w:rPr>
          <w:rFonts w:ascii="Times New Roman" w:hAnsi="Times New Roman" w:eastAsia="黑体"/>
          <w:color w:val="000000"/>
          <w:sz w:val="32"/>
          <w:szCs w:val="32"/>
        </w:rPr>
      </w:pPr>
    </w:p>
    <w:p>
      <w:pPr>
        <w:pStyle w:val="2"/>
        <w:rPr>
          <w:rFonts w:ascii="Times New Roman" w:hAnsi="Times New Roman" w:eastAsia="黑体"/>
          <w:color w:val="000000"/>
          <w:sz w:val="32"/>
          <w:szCs w:val="32"/>
        </w:rPr>
      </w:pPr>
    </w:p>
    <w:p>
      <w:pPr>
        <w:pStyle w:val="2"/>
        <w:rPr>
          <w:rFonts w:ascii="Times New Roman" w:hAnsi="Times New Roman" w:eastAsia="黑体"/>
          <w:color w:val="000000"/>
          <w:sz w:val="32"/>
          <w:szCs w:val="32"/>
        </w:rPr>
      </w:pPr>
    </w:p>
    <w:p>
      <w:pPr>
        <w:spacing w:line="600" w:lineRule="exact"/>
        <w:jc w:val="left"/>
        <w:rPr>
          <w:rFonts w:ascii="Times New Roman" w:hAnsi="Times New Roman" w:eastAsia="黑体"/>
          <w:color w:val="000000"/>
          <w:sz w:val="32"/>
          <w:szCs w:val="32"/>
        </w:rPr>
      </w:pPr>
    </w:p>
    <w:p>
      <w:pPr>
        <w:spacing w:line="600" w:lineRule="exact"/>
        <w:jc w:val="left"/>
        <w:rPr>
          <w:rFonts w:ascii="Times New Roman" w:hAnsi="Times New Roman" w:eastAsia="黑体"/>
          <w:color w:val="000000"/>
          <w:sz w:val="32"/>
          <w:szCs w:val="32"/>
        </w:rPr>
      </w:pPr>
    </w:p>
    <w:p>
      <w:pPr>
        <w:spacing w:line="600" w:lineRule="exact"/>
        <w:jc w:val="left"/>
        <w:rPr>
          <w:rFonts w:ascii="Times New Roman" w:hAnsi="Times New Roman" w:eastAsia="黑体"/>
          <w:color w:val="000000"/>
          <w:sz w:val="32"/>
          <w:szCs w:val="32"/>
        </w:rPr>
      </w:pPr>
    </w:p>
    <w:p>
      <w:pPr>
        <w:spacing w:line="600" w:lineRule="exact"/>
        <w:jc w:val="left"/>
        <w:rPr>
          <w:rFonts w:hint="eastAsia" w:ascii="Times New Roman" w:hAnsi="Times New Roman" w:eastAsia="黑体"/>
          <w:color w:val="000000"/>
          <w:sz w:val="32"/>
          <w:szCs w:val="32"/>
        </w:rPr>
      </w:pPr>
      <w:r>
        <w:rPr>
          <w:rFonts w:hint="eastAsia" w:ascii="Times New Roman" w:hAnsi="Times New Roman" w:eastAsia="黑体"/>
          <w:color w:val="000000"/>
          <w:sz w:val="32"/>
          <w:szCs w:val="32"/>
        </w:rPr>
        <w:t xml:space="preserve">  </w:t>
      </w:r>
    </w:p>
    <w:p>
      <w:pPr>
        <w:pStyle w:val="2"/>
        <w:rPr>
          <w:rFonts w:hint="eastAsia" w:ascii="Times New Roman" w:hAnsi="Times New Roman" w:eastAsia="黑体"/>
          <w:color w:val="000000"/>
          <w:sz w:val="32"/>
          <w:szCs w:val="32"/>
        </w:rPr>
      </w:pPr>
    </w:p>
    <w:p>
      <w:pPr>
        <w:pStyle w:val="2"/>
        <w:rPr>
          <w:rFonts w:hint="eastAsia" w:ascii="Times New Roman" w:hAnsi="Times New Roman" w:eastAsia="黑体"/>
          <w:color w:val="000000"/>
          <w:sz w:val="32"/>
          <w:szCs w:val="32"/>
        </w:rPr>
      </w:pPr>
    </w:p>
    <w:p>
      <w:pPr>
        <w:pStyle w:val="2"/>
        <w:rPr>
          <w:rFonts w:ascii="Times New Roman" w:hAnsi="Times New Roman" w:eastAsia="黑体"/>
          <w:color w:val="000000"/>
          <w:sz w:val="32"/>
          <w:szCs w:val="32"/>
        </w:rPr>
      </w:pPr>
    </w:p>
    <w:p>
      <w:pPr>
        <w:pStyle w:val="2"/>
        <w:rPr>
          <w:rFonts w:ascii="Times New Roman" w:hAnsi="Times New Roman" w:eastAsia="黑体"/>
          <w:color w:val="000000"/>
          <w:sz w:val="32"/>
          <w:szCs w:val="32"/>
        </w:rPr>
      </w:pPr>
    </w:p>
    <w:p>
      <w:pPr>
        <w:spacing w:after="120" w:afterLines="50"/>
        <w:jc w:val="left"/>
        <w:rPr>
          <w:rFonts w:ascii="Times New Roman" w:hAnsi="Times New Roman" w:eastAsia="黑体"/>
          <w:sz w:val="32"/>
          <w:szCs w:val="32"/>
        </w:rPr>
      </w:pPr>
    </w:p>
    <w:p>
      <w:pPr>
        <w:spacing w:after="120" w:afterLines="50"/>
        <w:jc w:val="left"/>
        <w:rPr>
          <w:rFonts w:ascii="Times New Roman" w:hAnsi="Times New Roman" w:eastAsia="黑体"/>
          <w:sz w:val="32"/>
          <w:szCs w:val="32"/>
        </w:rPr>
      </w:pPr>
    </w:p>
    <w:p>
      <w:pPr>
        <w:spacing w:after="120" w:afterLines="50"/>
        <w:jc w:val="left"/>
        <w:rPr>
          <w:rFonts w:ascii="Times New Roman" w:hAnsi="Times New Roman" w:eastAsia="黑体"/>
          <w:sz w:val="32"/>
          <w:szCs w:val="32"/>
        </w:rPr>
      </w:pPr>
    </w:p>
    <w:p>
      <w:pPr>
        <w:pStyle w:val="2"/>
      </w:pPr>
    </w:p>
    <w:p>
      <w:pPr>
        <w:spacing w:after="120" w:afterLines="50"/>
        <w:jc w:val="left"/>
        <w:rPr>
          <w:rFonts w:ascii="Times New Roman" w:hAnsi="Times New Roman" w:eastAsia="黑体"/>
          <w:sz w:val="32"/>
          <w:szCs w:val="32"/>
        </w:rPr>
      </w:pPr>
    </w:p>
    <w:p>
      <w:pPr>
        <w:spacing w:after="120" w:afterLines="50"/>
        <w:jc w:val="left"/>
        <w:rPr>
          <w:rFonts w:ascii="Times New Roman" w:hAnsi="Times New Roman" w:eastAsia="黑体"/>
          <w:sz w:val="32"/>
          <w:szCs w:val="32"/>
        </w:rPr>
      </w:pPr>
    </w:p>
    <w:p>
      <w:pPr>
        <w:spacing w:after="120" w:afterLines="50"/>
        <w:jc w:val="left"/>
        <w:rPr>
          <w:rFonts w:ascii="Times New Roman" w:hAnsi="Times New Roman" w:eastAsia="黑体"/>
          <w:sz w:val="32"/>
          <w:szCs w:val="32"/>
        </w:rPr>
      </w:pPr>
    </w:p>
    <w:p>
      <w:pPr>
        <w:spacing w:after="120" w:afterLines="50"/>
        <w:jc w:val="left"/>
        <w:rPr>
          <w:rFonts w:ascii="Times New Roman" w:hAnsi="Times New Roman" w:eastAsia="黑体"/>
          <w:sz w:val="32"/>
          <w:szCs w:val="32"/>
        </w:rPr>
      </w:pPr>
      <w:r>
        <w:rPr>
          <w:rFonts w:ascii="Times New Roman" w:hAnsi="Times New Roman" w:eastAsia="黑体"/>
          <w:sz w:val="32"/>
          <w:szCs w:val="32"/>
        </w:rPr>
        <w:t>附件3</w:t>
      </w:r>
    </w:p>
    <w:p>
      <w:pPr>
        <w:spacing w:after="120" w:afterLines="50" w:line="600" w:lineRule="exact"/>
        <w:jc w:val="center"/>
        <w:rPr>
          <w:rFonts w:ascii="方正小标宋简体" w:hAnsi="Times New Roman" w:eastAsia="方正小标宋简体"/>
          <w:sz w:val="44"/>
          <w:szCs w:val="44"/>
        </w:rPr>
      </w:pPr>
      <w:r>
        <w:rPr>
          <w:rFonts w:ascii="方正小标宋简体" w:hAnsi="Times New Roman" w:eastAsia="方正小标宋简体"/>
          <w:sz w:val="44"/>
          <w:szCs w:val="44"/>
        </w:rPr>
        <w:t>2021年度部门整体支出绩效自评表</w:t>
      </w:r>
    </w:p>
    <w:tbl>
      <w:tblPr>
        <w:tblStyle w:val="7"/>
        <w:tblW w:w="931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962"/>
        <w:gridCol w:w="948"/>
        <w:gridCol w:w="930"/>
        <w:gridCol w:w="1078"/>
        <w:gridCol w:w="68"/>
        <w:gridCol w:w="1078"/>
        <w:gridCol w:w="1202"/>
        <w:gridCol w:w="718"/>
        <w:gridCol w:w="884"/>
        <w:gridCol w:w="14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3" w:hRule="atLeast"/>
          <w:jc w:val="center"/>
        </w:trPr>
        <w:tc>
          <w:tcPr>
            <w:tcW w:w="962" w:type="dxa"/>
            <w:noWrap w:val="0"/>
            <w:vAlign w:val="center"/>
          </w:tcPr>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市级预算部门名称</w:t>
            </w:r>
          </w:p>
        </w:tc>
        <w:tc>
          <w:tcPr>
            <w:tcW w:w="8349" w:type="dxa"/>
            <w:gridSpan w:val="9"/>
            <w:noWrap w:val="0"/>
            <w:vAlign w:val="center"/>
          </w:tcPr>
          <w:p>
            <w:pPr>
              <w:spacing w:line="240" w:lineRule="exact"/>
              <w:jc w:val="center"/>
              <w:rPr>
                <w:rFonts w:ascii="Times New Roman" w:hAnsi="Times New Roman" w:eastAsia="仿宋_GB2312"/>
                <w:color w:val="000000"/>
                <w:sz w:val="18"/>
                <w:szCs w:val="18"/>
              </w:rPr>
            </w:pPr>
            <w:r>
              <w:rPr>
                <w:rFonts w:hint="eastAsia" w:ascii="Times New Roman" w:hAnsi="Times New Roman" w:eastAsia="仿宋_GB2312"/>
                <w:sz w:val="18"/>
                <w:szCs w:val="18"/>
              </w:rPr>
              <w:t>郴州市烈士公园(湘南起义纪念馆)</w:t>
            </w:r>
            <w:r>
              <w:rPr>
                <w:rFonts w:ascii="Times New Roman" w:hAnsi="Times New Roman" w:eastAsia="仿宋_GB2312"/>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46" w:hRule="atLeast"/>
          <w:jc w:val="center"/>
        </w:trPr>
        <w:tc>
          <w:tcPr>
            <w:tcW w:w="962" w:type="dxa"/>
            <w:vMerge w:val="restart"/>
            <w:noWrap w:val="0"/>
            <w:vAlign w:val="center"/>
          </w:tcPr>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年度预</w:t>
            </w:r>
          </w:p>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算申请</w:t>
            </w:r>
          </w:p>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（万元）</w:t>
            </w:r>
          </w:p>
        </w:tc>
        <w:tc>
          <w:tcPr>
            <w:tcW w:w="1878" w:type="dxa"/>
            <w:gridSpan w:val="2"/>
            <w:noWrap w:val="0"/>
            <w:vAlign w:val="center"/>
          </w:tcPr>
          <w:p>
            <w:pPr>
              <w:spacing w:line="240" w:lineRule="exact"/>
              <w:jc w:val="center"/>
              <w:rPr>
                <w:rFonts w:ascii="Times New Roman" w:hAnsi="Times New Roman" w:eastAsia="仿宋_GB2312"/>
                <w:sz w:val="18"/>
                <w:szCs w:val="18"/>
              </w:rPr>
            </w:pPr>
          </w:p>
        </w:tc>
        <w:tc>
          <w:tcPr>
            <w:tcW w:w="1146" w:type="dxa"/>
            <w:gridSpan w:val="2"/>
            <w:noWrap w:val="0"/>
            <w:vAlign w:val="center"/>
          </w:tcPr>
          <w:p>
            <w:pPr>
              <w:spacing w:line="240" w:lineRule="exact"/>
              <w:jc w:val="center"/>
              <w:rPr>
                <w:rFonts w:ascii="Times New Roman" w:hAnsi="Times New Roman" w:eastAsia="仿宋_GB2312"/>
                <w:sz w:val="18"/>
                <w:szCs w:val="18"/>
              </w:rPr>
            </w:pPr>
            <w:r>
              <w:rPr>
                <w:rFonts w:ascii="Times New Roman" w:hAnsi="Times New Roman" w:eastAsia="仿宋_GB2312"/>
                <w:sz w:val="18"/>
                <w:szCs w:val="18"/>
              </w:rPr>
              <w:t>年初预算数</w:t>
            </w:r>
          </w:p>
        </w:tc>
        <w:tc>
          <w:tcPr>
            <w:tcW w:w="1078" w:type="dxa"/>
            <w:noWrap w:val="0"/>
            <w:vAlign w:val="center"/>
          </w:tcPr>
          <w:p>
            <w:pPr>
              <w:spacing w:line="240" w:lineRule="exact"/>
              <w:jc w:val="center"/>
              <w:rPr>
                <w:rFonts w:ascii="Times New Roman" w:hAnsi="Times New Roman" w:eastAsia="仿宋_GB2312"/>
                <w:sz w:val="18"/>
                <w:szCs w:val="18"/>
              </w:rPr>
            </w:pPr>
            <w:r>
              <w:rPr>
                <w:rFonts w:ascii="Times New Roman" w:hAnsi="Times New Roman" w:eastAsia="仿宋_GB2312"/>
                <w:sz w:val="18"/>
                <w:szCs w:val="18"/>
              </w:rPr>
              <w:t>全年预算数</w:t>
            </w:r>
          </w:p>
        </w:tc>
        <w:tc>
          <w:tcPr>
            <w:tcW w:w="1202" w:type="dxa"/>
            <w:noWrap w:val="0"/>
            <w:vAlign w:val="center"/>
          </w:tcPr>
          <w:p>
            <w:pPr>
              <w:spacing w:line="240" w:lineRule="exact"/>
              <w:jc w:val="center"/>
              <w:rPr>
                <w:rFonts w:ascii="Times New Roman" w:hAnsi="Times New Roman" w:eastAsia="仿宋_GB2312"/>
                <w:sz w:val="18"/>
                <w:szCs w:val="18"/>
              </w:rPr>
            </w:pPr>
            <w:r>
              <w:rPr>
                <w:rFonts w:ascii="Times New Roman" w:hAnsi="Times New Roman" w:eastAsia="仿宋_GB2312"/>
                <w:sz w:val="18"/>
                <w:szCs w:val="18"/>
              </w:rPr>
              <w:t>全年执行数</w:t>
            </w:r>
          </w:p>
        </w:tc>
        <w:tc>
          <w:tcPr>
            <w:tcW w:w="718" w:type="dxa"/>
            <w:noWrap w:val="0"/>
            <w:vAlign w:val="center"/>
          </w:tcPr>
          <w:p>
            <w:pPr>
              <w:spacing w:line="240" w:lineRule="exact"/>
              <w:jc w:val="center"/>
              <w:rPr>
                <w:rFonts w:ascii="Times New Roman" w:hAnsi="Times New Roman" w:eastAsia="仿宋_GB2312"/>
                <w:sz w:val="18"/>
                <w:szCs w:val="18"/>
              </w:rPr>
            </w:pPr>
            <w:r>
              <w:rPr>
                <w:rFonts w:ascii="Times New Roman" w:hAnsi="Times New Roman" w:eastAsia="仿宋_GB2312"/>
                <w:sz w:val="18"/>
                <w:szCs w:val="18"/>
              </w:rPr>
              <w:t>分值</w:t>
            </w:r>
          </w:p>
        </w:tc>
        <w:tc>
          <w:tcPr>
            <w:tcW w:w="884" w:type="dxa"/>
            <w:noWrap w:val="0"/>
            <w:vAlign w:val="center"/>
          </w:tcPr>
          <w:p>
            <w:pPr>
              <w:spacing w:line="240" w:lineRule="exact"/>
              <w:jc w:val="center"/>
              <w:rPr>
                <w:rFonts w:ascii="Times New Roman" w:hAnsi="Times New Roman" w:eastAsia="仿宋_GB2312"/>
                <w:sz w:val="18"/>
                <w:szCs w:val="18"/>
              </w:rPr>
            </w:pPr>
            <w:r>
              <w:rPr>
                <w:rFonts w:ascii="Times New Roman" w:hAnsi="Times New Roman" w:eastAsia="仿宋_GB2312"/>
                <w:sz w:val="18"/>
                <w:szCs w:val="18"/>
              </w:rPr>
              <w:t>执行率</w:t>
            </w:r>
          </w:p>
        </w:tc>
        <w:tc>
          <w:tcPr>
            <w:tcW w:w="1443" w:type="dxa"/>
            <w:noWrap w:val="0"/>
            <w:vAlign w:val="center"/>
          </w:tcPr>
          <w:p>
            <w:pPr>
              <w:spacing w:line="240" w:lineRule="exact"/>
              <w:jc w:val="center"/>
              <w:rPr>
                <w:rFonts w:ascii="Times New Roman" w:hAnsi="Times New Roman" w:eastAsia="仿宋_GB2312"/>
                <w:sz w:val="18"/>
                <w:szCs w:val="18"/>
              </w:rPr>
            </w:pPr>
            <w:r>
              <w:rPr>
                <w:rFonts w:ascii="Times New Roman" w:hAnsi="Times New Roman" w:eastAsia="仿宋_GB2312"/>
                <w:sz w:val="18"/>
                <w:szCs w:val="18"/>
              </w:rPr>
              <w:t>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878" w:type="dxa"/>
            <w:gridSpan w:val="2"/>
            <w:noWrap w:val="0"/>
            <w:vAlign w:val="center"/>
          </w:tcPr>
          <w:p>
            <w:pPr>
              <w:spacing w:line="240" w:lineRule="exact"/>
              <w:jc w:val="center"/>
              <w:rPr>
                <w:rFonts w:ascii="Times New Roman" w:hAnsi="Times New Roman" w:eastAsia="仿宋_GB2312"/>
                <w:sz w:val="18"/>
                <w:szCs w:val="18"/>
              </w:rPr>
            </w:pPr>
            <w:r>
              <w:rPr>
                <w:rFonts w:ascii="Times New Roman" w:hAnsi="Times New Roman" w:eastAsia="仿宋_GB2312"/>
                <w:color w:val="000000"/>
                <w:sz w:val="18"/>
                <w:szCs w:val="18"/>
              </w:rPr>
              <w:t>年度资金总额</w:t>
            </w:r>
          </w:p>
        </w:tc>
        <w:tc>
          <w:tcPr>
            <w:tcW w:w="1146" w:type="dxa"/>
            <w:gridSpan w:val="2"/>
            <w:noWrap w:val="0"/>
            <w:vAlign w:val="center"/>
          </w:tcPr>
          <w:p>
            <w:pPr>
              <w:spacing w:line="240" w:lineRule="exact"/>
              <w:jc w:val="center"/>
              <w:rPr>
                <w:rFonts w:ascii="Times New Roman" w:hAnsi="Times New Roman" w:eastAsia="仿宋_GB2312"/>
                <w:sz w:val="18"/>
                <w:szCs w:val="18"/>
              </w:rPr>
            </w:pPr>
            <w:r>
              <w:rPr>
                <w:rFonts w:hint="eastAsia" w:ascii="Times New Roman" w:hAnsi="Times New Roman" w:eastAsia="仿宋_GB2312"/>
                <w:sz w:val="18"/>
                <w:szCs w:val="18"/>
              </w:rPr>
              <w:t>860.22</w:t>
            </w:r>
          </w:p>
        </w:tc>
        <w:tc>
          <w:tcPr>
            <w:tcW w:w="1078" w:type="dxa"/>
            <w:noWrap w:val="0"/>
            <w:vAlign w:val="center"/>
          </w:tcPr>
          <w:p>
            <w:pPr>
              <w:spacing w:line="240" w:lineRule="exact"/>
              <w:jc w:val="center"/>
              <w:rPr>
                <w:rFonts w:ascii="Times New Roman" w:hAnsi="Times New Roman" w:eastAsia="仿宋_GB2312"/>
                <w:sz w:val="18"/>
                <w:szCs w:val="18"/>
              </w:rPr>
            </w:pPr>
            <w:r>
              <w:rPr>
                <w:rFonts w:hint="eastAsia" w:ascii="Times New Roman" w:hAnsi="Times New Roman" w:eastAsia="仿宋_GB2312"/>
                <w:sz w:val="18"/>
                <w:szCs w:val="18"/>
              </w:rPr>
              <w:t>1403.38</w:t>
            </w:r>
          </w:p>
        </w:tc>
        <w:tc>
          <w:tcPr>
            <w:tcW w:w="1202" w:type="dxa"/>
            <w:noWrap w:val="0"/>
            <w:vAlign w:val="center"/>
          </w:tcPr>
          <w:p>
            <w:pPr>
              <w:spacing w:line="240" w:lineRule="exact"/>
              <w:jc w:val="center"/>
              <w:rPr>
                <w:rFonts w:ascii="Times New Roman" w:hAnsi="Times New Roman" w:eastAsia="仿宋_GB2312"/>
                <w:sz w:val="18"/>
                <w:szCs w:val="18"/>
              </w:rPr>
            </w:pPr>
            <w:r>
              <w:rPr>
                <w:rFonts w:hint="eastAsia" w:ascii="Times New Roman" w:hAnsi="Times New Roman" w:eastAsia="仿宋_GB2312"/>
                <w:sz w:val="18"/>
                <w:szCs w:val="18"/>
              </w:rPr>
              <w:t>1363.7</w:t>
            </w:r>
          </w:p>
        </w:tc>
        <w:tc>
          <w:tcPr>
            <w:tcW w:w="718" w:type="dxa"/>
            <w:noWrap w:val="0"/>
            <w:vAlign w:val="center"/>
          </w:tcPr>
          <w:p>
            <w:pPr>
              <w:spacing w:line="240" w:lineRule="exact"/>
              <w:jc w:val="center"/>
              <w:rPr>
                <w:rFonts w:ascii="Times New Roman" w:hAnsi="Times New Roman" w:eastAsia="仿宋_GB2312"/>
                <w:sz w:val="18"/>
                <w:szCs w:val="18"/>
              </w:rPr>
            </w:pPr>
            <w:r>
              <w:rPr>
                <w:rFonts w:ascii="Times New Roman" w:hAnsi="Times New Roman" w:eastAsia="仿宋_GB2312"/>
                <w:sz w:val="18"/>
                <w:szCs w:val="18"/>
              </w:rPr>
              <w:t>10</w:t>
            </w:r>
          </w:p>
        </w:tc>
        <w:tc>
          <w:tcPr>
            <w:tcW w:w="884" w:type="dxa"/>
            <w:noWrap w:val="0"/>
            <w:vAlign w:val="center"/>
          </w:tcPr>
          <w:p>
            <w:pPr>
              <w:spacing w:line="240" w:lineRule="exact"/>
              <w:jc w:val="center"/>
              <w:rPr>
                <w:rFonts w:ascii="Times New Roman" w:hAnsi="Times New Roman" w:eastAsia="仿宋_GB2312"/>
                <w:sz w:val="18"/>
                <w:szCs w:val="18"/>
              </w:rPr>
            </w:pPr>
            <w:r>
              <w:rPr>
                <w:rFonts w:hint="eastAsia" w:ascii="Times New Roman" w:hAnsi="Times New Roman" w:eastAsia="仿宋_GB2312"/>
                <w:sz w:val="18"/>
                <w:szCs w:val="18"/>
              </w:rPr>
              <w:t>97.17%</w:t>
            </w:r>
          </w:p>
        </w:tc>
        <w:tc>
          <w:tcPr>
            <w:tcW w:w="1443" w:type="dxa"/>
            <w:noWrap w:val="0"/>
            <w:vAlign w:val="center"/>
          </w:tcPr>
          <w:p>
            <w:pPr>
              <w:spacing w:line="240" w:lineRule="exact"/>
              <w:jc w:val="center"/>
              <w:rPr>
                <w:rFonts w:hint="eastAsia" w:ascii="Times New Roman" w:hAnsi="Times New Roman"/>
                <w:sz w:val="18"/>
                <w:szCs w:val="18"/>
              </w:rPr>
            </w:pPr>
            <w:r>
              <w:rPr>
                <w:rFonts w:hint="eastAsia" w:ascii="Times New Roman" w:hAnsi="Times New Roman" w:eastAsia="仿宋_GB2312"/>
                <w:sz w:val="18"/>
                <w:szCs w:val="18"/>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4102" w:type="dxa"/>
            <w:gridSpan w:val="5"/>
            <w:noWrap w:val="0"/>
            <w:vAlign w:val="center"/>
          </w:tcPr>
          <w:p>
            <w:pPr>
              <w:spacing w:line="240" w:lineRule="exact"/>
              <w:jc w:val="left"/>
              <w:rPr>
                <w:rFonts w:ascii="Times New Roman" w:hAnsi="Times New Roman" w:eastAsia="仿宋_GB2312"/>
                <w:color w:val="000000"/>
                <w:sz w:val="18"/>
                <w:szCs w:val="18"/>
              </w:rPr>
            </w:pPr>
            <w:r>
              <w:rPr>
                <w:rFonts w:ascii="Times New Roman" w:hAnsi="Times New Roman" w:eastAsia="仿宋_GB2312"/>
                <w:color w:val="000000"/>
                <w:sz w:val="18"/>
                <w:szCs w:val="18"/>
              </w:rPr>
              <w:t>按收入性质分：</w:t>
            </w:r>
            <w:r>
              <w:rPr>
                <w:rFonts w:hint="eastAsia" w:ascii="Times New Roman" w:hAnsi="Times New Roman" w:eastAsia="仿宋_GB2312"/>
                <w:color w:val="000000"/>
                <w:sz w:val="18"/>
                <w:szCs w:val="18"/>
              </w:rPr>
              <w:t>1363.7</w:t>
            </w:r>
          </w:p>
        </w:tc>
        <w:tc>
          <w:tcPr>
            <w:tcW w:w="4247" w:type="dxa"/>
            <w:gridSpan w:val="4"/>
            <w:noWrap w:val="0"/>
            <w:vAlign w:val="center"/>
          </w:tcPr>
          <w:p>
            <w:pPr>
              <w:spacing w:line="240" w:lineRule="exact"/>
              <w:jc w:val="left"/>
              <w:rPr>
                <w:rFonts w:ascii="Times New Roman" w:hAnsi="Times New Roman" w:eastAsia="仿宋_GB2312"/>
                <w:color w:val="000000"/>
                <w:sz w:val="18"/>
                <w:szCs w:val="18"/>
              </w:rPr>
            </w:pPr>
            <w:r>
              <w:rPr>
                <w:rFonts w:ascii="Times New Roman" w:hAnsi="Times New Roman" w:eastAsia="仿宋_GB2312"/>
                <w:color w:val="000000"/>
                <w:sz w:val="18"/>
                <w:szCs w:val="18"/>
              </w:rPr>
              <w:t>按支出性质分：</w:t>
            </w:r>
            <w:r>
              <w:rPr>
                <w:rFonts w:hint="eastAsia" w:ascii="Times New Roman" w:hAnsi="Times New Roman" w:eastAsia="仿宋_GB2312"/>
                <w:color w:val="000000"/>
                <w:sz w:val="18"/>
                <w:szCs w:val="18"/>
              </w:rPr>
              <w:t>1363.7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4102" w:type="dxa"/>
            <w:gridSpan w:val="5"/>
            <w:noWrap w:val="0"/>
            <w:vAlign w:val="center"/>
          </w:tcPr>
          <w:p>
            <w:pPr>
              <w:spacing w:line="240" w:lineRule="exact"/>
              <w:jc w:val="left"/>
              <w:rPr>
                <w:rFonts w:ascii="Times New Roman" w:hAnsi="Times New Roman" w:eastAsia="仿宋_GB2312"/>
                <w:color w:val="000000"/>
                <w:sz w:val="18"/>
                <w:szCs w:val="18"/>
              </w:rPr>
            </w:pPr>
            <w:r>
              <w:rPr>
                <w:rFonts w:ascii="Times New Roman" w:hAnsi="Times New Roman" w:eastAsia="仿宋_GB2312"/>
                <w:color w:val="000000"/>
                <w:sz w:val="18"/>
                <w:szCs w:val="18"/>
              </w:rPr>
              <w:t xml:space="preserve">  其中：  一般公共预算：</w:t>
            </w:r>
            <w:r>
              <w:rPr>
                <w:rFonts w:hint="eastAsia" w:ascii="Times New Roman" w:hAnsi="Times New Roman" w:eastAsia="仿宋_GB2312"/>
                <w:color w:val="000000"/>
                <w:sz w:val="18"/>
                <w:szCs w:val="18"/>
              </w:rPr>
              <w:t>1316.4</w:t>
            </w:r>
          </w:p>
        </w:tc>
        <w:tc>
          <w:tcPr>
            <w:tcW w:w="4247" w:type="dxa"/>
            <w:gridSpan w:val="4"/>
            <w:noWrap w:val="0"/>
            <w:vAlign w:val="center"/>
          </w:tcPr>
          <w:p>
            <w:pPr>
              <w:spacing w:line="240" w:lineRule="exact"/>
              <w:jc w:val="left"/>
              <w:rPr>
                <w:rFonts w:ascii="Times New Roman" w:hAnsi="Times New Roman" w:eastAsia="仿宋_GB2312"/>
                <w:color w:val="000000"/>
                <w:sz w:val="18"/>
                <w:szCs w:val="18"/>
              </w:rPr>
            </w:pPr>
            <w:r>
              <w:rPr>
                <w:rFonts w:ascii="Times New Roman" w:hAnsi="Times New Roman" w:eastAsia="仿宋_GB2312"/>
                <w:color w:val="000000"/>
                <w:sz w:val="18"/>
                <w:szCs w:val="18"/>
              </w:rPr>
              <w:t>其中：基本支出：</w:t>
            </w:r>
            <w:r>
              <w:rPr>
                <w:rFonts w:hint="eastAsia" w:ascii="Times New Roman" w:hAnsi="Times New Roman" w:eastAsia="仿宋_GB2312"/>
                <w:color w:val="000000"/>
                <w:sz w:val="18"/>
                <w:szCs w:val="18"/>
              </w:rPr>
              <w:t>375.26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4102" w:type="dxa"/>
            <w:gridSpan w:val="5"/>
            <w:noWrap w:val="0"/>
            <w:vAlign w:val="center"/>
          </w:tcPr>
          <w:p>
            <w:pPr>
              <w:spacing w:line="240" w:lineRule="exact"/>
              <w:ind w:firstLine="720" w:firstLineChars="400"/>
              <w:jc w:val="left"/>
              <w:rPr>
                <w:rFonts w:ascii="Times New Roman" w:hAnsi="Times New Roman" w:eastAsia="仿宋_GB2312"/>
                <w:color w:val="000000"/>
                <w:sz w:val="18"/>
                <w:szCs w:val="18"/>
              </w:rPr>
            </w:pPr>
            <w:r>
              <w:rPr>
                <w:rFonts w:ascii="Times New Roman" w:hAnsi="Times New Roman" w:eastAsia="仿宋_GB2312"/>
                <w:color w:val="000000"/>
                <w:sz w:val="18"/>
                <w:szCs w:val="18"/>
              </w:rPr>
              <w:t>政府性基金拨款：</w:t>
            </w:r>
          </w:p>
        </w:tc>
        <w:tc>
          <w:tcPr>
            <w:tcW w:w="4247" w:type="dxa"/>
            <w:gridSpan w:val="4"/>
            <w:noWrap w:val="0"/>
            <w:vAlign w:val="center"/>
          </w:tcPr>
          <w:p>
            <w:pPr>
              <w:spacing w:line="240" w:lineRule="exact"/>
              <w:ind w:firstLine="540" w:firstLineChars="300"/>
              <w:jc w:val="left"/>
              <w:rPr>
                <w:rFonts w:ascii="Times New Roman" w:hAnsi="Times New Roman" w:eastAsia="仿宋_GB2312"/>
                <w:color w:val="000000"/>
                <w:sz w:val="18"/>
                <w:szCs w:val="18"/>
              </w:rPr>
            </w:pPr>
            <w:r>
              <w:rPr>
                <w:rFonts w:ascii="Times New Roman" w:hAnsi="Times New Roman" w:eastAsia="仿宋_GB2312"/>
                <w:color w:val="000000"/>
                <w:sz w:val="18"/>
                <w:szCs w:val="18"/>
              </w:rPr>
              <w:t>项目支出：</w:t>
            </w:r>
            <w:r>
              <w:rPr>
                <w:rFonts w:hint="eastAsia" w:ascii="Times New Roman" w:hAnsi="Times New Roman" w:eastAsia="仿宋_GB2312"/>
                <w:color w:val="000000"/>
                <w:sz w:val="18"/>
                <w:szCs w:val="18"/>
              </w:rPr>
              <w:t>988.45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962"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4102" w:type="dxa"/>
            <w:gridSpan w:val="5"/>
            <w:noWrap w:val="0"/>
            <w:vAlign w:val="center"/>
          </w:tcPr>
          <w:p>
            <w:pPr>
              <w:spacing w:line="240" w:lineRule="exact"/>
              <w:jc w:val="left"/>
              <w:rPr>
                <w:rFonts w:ascii="Times New Roman" w:hAnsi="Times New Roman" w:eastAsia="仿宋_GB2312"/>
                <w:color w:val="000000"/>
                <w:sz w:val="18"/>
                <w:szCs w:val="18"/>
              </w:rPr>
            </w:pPr>
            <w:r>
              <w:rPr>
                <w:rFonts w:ascii="Times New Roman" w:hAnsi="Times New Roman" w:eastAsia="仿宋_GB2312"/>
                <w:color w:val="000000"/>
                <w:sz w:val="18"/>
                <w:szCs w:val="18"/>
              </w:rPr>
              <w:t>纳入专户管理的非税收入拨款：</w:t>
            </w:r>
            <w:r>
              <w:rPr>
                <w:rFonts w:hint="eastAsia" w:ascii="Times New Roman" w:hAnsi="Times New Roman" w:eastAsia="仿宋_GB2312"/>
                <w:color w:val="000000"/>
                <w:sz w:val="18"/>
                <w:szCs w:val="18"/>
              </w:rPr>
              <w:t>20.89</w:t>
            </w:r>
          </w:p>
        </w:tc>
        <w:tc>
          <w:tcPr>
            <w:tcW w:w="4247" w:type="dxa"/>
            <w:gridSpan w:val="4"/>
            <w:noWrap w:val="0"/>
            <w:vAlign w:val="center"/>
          </w:tcPr>
          <w:p>
            <w:pPr>
              <w:spacing w:line="240" w:lineRule="exact"/>
              <w:jc w:val="left"/>
              <w:rPr>
                <w:rFonts w:ascii="Times New Roman" w:hAnsi="Times New Roman"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4102" w:type="dxa"/>
            <w:gridSpan w:val="5"/>
            <w:noWrap w:val="0"/>
            <w:vAlign w:val="center"/>
          </w:tcPr>
          <w:p>
            <w:pPr>
              <w:spacing w:line="240" w:lineRule="exact"/>
              <w:ind w:firstLine="1260" w:firstLineChars="700"/>
              <w:jc w:val="left"/>
              <w:rPr>
                <w:rFonts w:ascii="Times New Roman" w:hAnsi="Times New Roman" w:eastAsia="仿宋_GB2312"/>
                <w:color w:val="000000"/>
                <w:sz w:val="18"/>
                <w:szCs w:val="18"/>
              </w:rPr>
            </w:pPr>
            <w:r>
              <w:rPr>
                <w:rFonts w:ascii="Times New Roman" w:hAnsi="Times New Roman" w:eastAsia="仿宋_GB2312"/>
                <w:color w:val="000000"/>
                <w:sz w:val="18"/>
                <w:szCs w:val="18"/>
              </w:rPr>
              <w:t>其他资金：</w:t>
            </w:r>
            <w:r>
              <w:rPr>
                <w:rFonts w:hint="eastAsia" w:ascii="Times New Roman" w:hAnsi="Times New Roman" w:eastAsia="仿宋_GB2312"/>
                <w:color w:val="000000"/>
                <w:sz w:val="18"/>
                <w:szCs w:val="18"/>
              </w:rPr>
              <w:t>26.41</w:t>
            </w:r>
          </w:p>
        </w:tc>
        <w:tc>
          <w:tcPr>
            <w:tcW w:w="4247" w:type="dxa"/>
            <w:gridSpan w:val="4"/>
            <w:noWrap w:val="0"/>
            <w:vAlign w:val="center"/>
          </w:tcPr>
          <w:p>
            <w:pPr>
              <w:spacing w:line="240" w:lineRule="exact"/>
              <w:jc w:val="left"/>
              <w:rPr>
                <w:rFonts w:ascii="Times New Roman" w:hAnsi="Times New Roman"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46" w:hRule="atLeast"/>
          <w:jc w:val="center"/>
        </w:trPr>
        <w:tc>
          <w:tcPr>
            <w:tcW w:w="962" w:type="dxa"/>
            <w:vMerge w:val="restart"/>
            <w:noWrap w:val="0"/>
            <w:vAlign w:val="center"/>
          </w:tcPr>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年度总体目标</w:t>
            </w:r>
          </w:p>
        </w:tc>
        <w:tc>
          <w:tcPr>
            <w:tcW w:w="4102" w:type="dxa"/>
            <w:gridSpan w:val="5"/>
            <w:noWrap w:val="0"/>
            <w:vAlign w:val="center"/>
          </w:tcPr>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预期目标</w:t>
            </w:r>
          </w:p>
        </w:tc>
        <w:tc>
          <w:tcPr>
            <w:tcW w:w="4247" w:type="dxa"/>
            <w:gridSpan w:val="4"/>
            <w:noWrap w:val="0"/>
            <w:vAlign w:val="center"/>
          </w:tcPr>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实际完成情况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4102" w:type="dxa"/>
            <w:gridSpan w:val="5"/>
            <w:noWrap w:val="0"/>
            <w:vAlign w:val="center"/>
          </w:tcPr>
          <w:p>
            <w:pPr>
              <w:spacing w:line="240" w:lineRule="exac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1、整合郴州市湘南起义红色遗产资源，宣传和传播红色文化，加快公民思想道德建设。2、加强烈士公园园区生态环境建设，提升城市人居环境，为市民提供良好的健身锻炼休闲的场所。3、以红色教育为主要类容，开展爱国教育和革命传统教育、红色旅游等工作。4、保障烈士公园、陈家大屋、纪念馆全年正常工作运转</w:t>
            </w:r>
          </w:p>
        </w:tc>
        <w:tc>
          <w:tcPr>
            <w:tcW w:w="4247" w:type="dxa"/>
            <w:gridSpan w:val="4"/>
            <w:noWrap w:val="0"/>
            <w:vAlign w:val="center"/>
          </w:tcPr>
          <w:p>
            <w:pPr>
              <w:spacing w:line="240" w:lineRule="exact"/>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1、整合了郴州市湘南起义红色遗产资源，宣传和传播红色文化，加快公民思想道德建设。2、加强烈士公园园区生态环境建设，提升城市人居环境，为市民提供良好的健身锻炼休闲的场所。3、以红色教育为主要内容，开展爱国教育和革命传统教育、红色旅游等工作。4、保障烈士公园、陈家大屋、纪念馆全年正常工作运转</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3" w:hRule="atLeast"/>
          <w:jc w:val="center"/>
        </w:trPr>
        <w:tc>
          <w:tcPr>
            <w:tcW w:w="962" w:type="dxa"/>
            <w:vMerge w:val="restart"/>
            <w:noWrap w:val="0"/>
            <w:vAlign w:val="center"/>
          </w:tcPr>
          <w:p>
            <w:pPr>
              <w:spacing w:line="240" w:lineRule="exact"/>
              <w:jc w:val="center"/>
              <w:rPr>
                <w:rFonts w:hint="eastAsia" w:ascii="Times New Roman" w:hAnsi="Times New Roman" w:eastAsia="仿宋_GB2312"/>
                <w:color w:val="000000"/>
                <w:sz w:val="18"/>
                <w:szCs w:val="18"/>
              </w:rPr>
            </w:pPr>
          </w:p>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绩</w:t>
            </w:r>
          </w:p>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效</w:t>
            </w:r>
          </w:p>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指</w:t>
            </w:r>
          </w:p>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标</w:t>
            </w:r>
          </w:p>
          <w:p>
            <w:pPr>
              <w:spacing w:line="240" w:lineRule="exact"/>
              <w:jc w:val="center"/>
              <w:rPr>
                <w:rFonts w:hint="eastAsia" w:ascii="Times New Roman" w:hAnsi="Times New Roman" w:eastAsia="仿宋_GB2312"/>
                <w:color w:val="000000"/>
                <w:sz w:val="18"/>
                <w:szCs w:val="18"/>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pPr>
          </w:p>
        </w:tc>
        <w:tc>
          <w:tcPr>
            <w:tcW w:w="948" w:type="dxa"/>
            <w:noWrap w:val="0"/>
            <w:vAlign w:val="center"/>
          </w:tcPr>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一级指标</w:t>
            </w:r>
          </w:p>
        </w:tc>
        <w:tc>
          <w:tcPr>
            <w:tcW w:w="930" w:type="dxa"/>
            <w:noWrap w:val="0"/>
            <w:vAlign w:val="center"/>
          </w:tcPr>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二级指标</w:t>
            </w:r>
          </w:p>
        </w:tc>
        <w:tc>
          <w:tcPr>
            <w:tcW w:w="1078" w:type="dxa"/>
            <w:noWrap w:val="0"/>
            <w:vAlign w:val="center"/>
          </w:tcPr>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三级指标</w:t>
            </w:r>
          </w:p>
        </w:tc>
        <w:tc>
          <w:tcPr>
            <w:tcW w:w="1146" w:type="dxa"/>
            <w:gridSpan w:val="2"/>
            <w:noWrap w:val="0"/>
            <w:vAlign w:val="center"/>
          </w:tcPr>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年度指标值</w:t>
            </w:r>
          </w:p>
        </w:tc>
        <w:tc>
          <w:tcPr>
            <w:tcW w:w="1202" w:type="dxa"/>
            <w:noWrap w:val="0"/>
            <w:vAlign w:val="center"/>
          </w:tcPr>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实际完成值</w:t>
            </w:r>
          </w:p>
        </w:tc>
        <w:tc>
          <w:tcPr>
            <w:tcW w:w="718" w:type="dxa"/>
            <w:noWrap w:val="0"/>
            <w:vAlign w:val="center"/>
          </w:tcPr>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分值</w:t>
            </w:r>
          </w:p>
        </w:tc>
        <w:tc>
          <w:tcPr>
            <w:tcW w:w="884" w:type="dxa"/>
            <w:noWrap w:val="0"/>
            <w:vAlign w:val="center"/>
          </w:tcPr>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得分</w:t>
            </w:r>
          </w:p>
        </w:tc>
        <w:tc>
          <w:tcPr>
            <w:tcW w:w="1443" w:type="dxa"/>
            <w:noWrap w:val="0"/>
            <w:vAlign w:val="center"/>
          </w:tcPr>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偏差原因分析及改进措施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restart"/>
            <w:noWrap w:val="0"/>
            <w:vAlign w:val="center"/>
          </w:tcPr>
          <w:p>
            <w:pPr>
              <w:spacing w:line="240" w:lineRule="exact"/>
              <w:jc w:val="left"/>
              <w:rPr>
                <w:rFonts w:hint="eastAsia" w:ascii="Times New Roman" w:hAnsi="Times New Roman" w:eastAsia="仿宋_GB2312"/>
                <w:color w:val="000000"/>
                <w:sz w:val="18"/>
                <w:szCs w:val="18"/>
              </w:rPr>
            </w:pPr>
          </w:p>
          <w:p>
            <w:pPr>
              <w:spacing w:line="240" w:lineRule="exact"/>
              <w:jc w:val="center"/>
            </w:pPr>
            <w:r>
              <w:rPr>
                <w:rFonts w:hint="eastAsia" w:ascii="Times New Roman" w:hAnsi="Times New Roman" w:eastAsia="仿宋_GB2312"/>
                <w:color w:val="000000"/>
                <w:sz w:val="18"/>
                <w:szCs w:val="18"/>
              </w:rPr>
              <w:t>产出指标（50分）</w:t>
            </w:r>
          </w:p>
        </w:tc>
        <w:tc>
          <w:tcPr>
            <w:tcW w:w="930" w:type="dxa"/>
            <w:vMerge w:val="restart"/>
            <w:noWrap w:val="0"/>
            <w:vAlign w:val="center"/>
          </w:tcPr>
          <w:p>
            <w:pPr>
              <w:spacing w:line="24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数量指标</w:t>
            </w:r>
          </w:p>
        </w:tc>
        <w:tc>
          <w:tcPr>
            <w:tcW w:w="1078"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基础设施和维护工作完成率</w:t>
            </w:r>
          </w:p>
        </w:tc>
        <w:tc>
          <w:tcPr>
            <w:tcW w:w="1146" w:type="dxa"/>
            <w:gridSpan w:val="2"/>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95%</w:t>
            </w:r>
          </w:p>
        </w:tc>
        <w:tc>
          <w:tcPr>
            <w:tcW w:w="1202"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95%</w:t>
            </w:r>
          </w:p>
        </w:tc>
        <w:tc>
          <w:tcPr>
            <w:tcW w:w="718" w:type="dxa"/>
            <w:noWrap w:val="0"/>
            <w:vAlign w:val="center"/>
          </w:tcPr>
          <w:p>
            <w:pPr>
              <w:widowControl/>
              <w:jc w:val="left"/>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0.5</w:t>
            </w:r>
          </w:p>
        </w:tc>
        <w:tc>
          <w:tcPr>
            <w:tcW w:w="884" w:type="dxa"/>
            <w:noWrap w:val="0"/>
            <w:vAlign w:val="center"/>
          </w:tcPr>
          <w:p>
            <w:pPr>
              <w:widowControl/>
              <w:jc w:val="left"/>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0.5</w:t>
            </w:r>
          </w:p>
        </w:tc>
        <w:tc>
          <w:tcPr>
            <w:tcW w:w="1443"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center"/>
              <w:rPr>
                <w:rFonts w:hint="eastAsia"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hint="eastAsia" w:ascii="Times New Roman" w:hAnsi="Times New Roman" w:eastAsia="仿宋_GB2312"/>
                <w:color w:val="000000"/>
                <w:sz w:val="18"/>
                <w:szCs w:val="18"/>
              </w:rPr>
            </w:pPr>
          </w:p>
        </w:tc>
        <w:tc>
          <w:tcPr>
            <w:tcW w:w="1078"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纪念设施维护工作完成率</w:t>
            </w:r>
          </w:p>
        </w:tc>
        <w:tc>
          <w:tcPr>
            <w:tcW w:w="1146" w:type="dxa"/>
            <w:gridSpan w:val="2"/>
            <w:noWrap w:val="0"/>
            <w:vAlign w:val="center"/>
          </w:tcPr>
          <w:p>
            <w:pPr>
              <w:widowControl/>
              <w:jc w:val="left"/>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rPr>
              <w:t>95%</w:t>
            </w:r>
          </w:p>
        </w:tc>
        <w:tc>
          <w:tcPr>
            <w:tcW w:w="1202" w:type="dxa"/>
            <w:noWrap w:val="0"/>
            <w:vAlign w:val="center"/>
          </w:tcPr>
          <w:p>
            <w:pPr>
              <w:widowControl/>
              <w:jc w:val="left"/>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rPr>
              <w:t>95%</w:t>
            </w:r>
          </w:p>
        </w:tc>
        <w:tc>
          <w:tcPr>
            <w:tcW w:w="718" w:type="dxa"/>
            <w:noWrap w:val="0"/>
            <w:vAlign w:val="center"/>
          </w:tcPr>
          <w:p>
            <w:pPr>
              <w:widowControl/>
              <w:jc w:val="left"/>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0.5</w:t>
            </w:r>
          </w:p>
        </w:tc>
        <w:tc>
          <w:tcPr>
            <w:tcW w:w="884" w:type="dxa"/>
            <w:noWrap w:val="0"/>
            <w:vAlign w:val="center"/>
          </w:tcPr>
          <w:p>
            <w:pPr>
              <w:widowControl/>
              <w:jc w:val="left"/>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0.5</w:t>
            </w:r>
          </w:p>
        </w:tc>
        <w:tc>
          <w:tcPr>
            <w:tcW w:w="1443" w:type="dxa"/>
            <w:noWrap w:val="0"/>
            <w:vAlign w:val="center"/>
          </w:tcPr>
          <w:p>
            <w:pPr>
              <w:widowControl/>
              <w:jc w:val="left"/>
              <w:rPr>
                <w:rFonts w:hint="eastAsia" w:ascii="Times New Roman" w:hAnsi="Times New Roman" w:eastAsia="仿宋_GB2312" w:cs="Times New Roman"/>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hint="eastAsia" w:ascii="Times New Roman" w:hAnsi="Times New Roman" w:eastAsia="仿宋_GB2312"/>
                <w:color w:val="000000"/>
                <w:sz w:val="18"/>
                <w:szCs w:val="18"/>
                <w:lang w:eastAsia="zh-CN"/>
              </w:rPr>
            </w:pPr>
            <w:r>
              <w:rPr>
                <w:rFonts w:hint="eastAsia" w:ascii="Times New Roman" w:hAnsi="Times New Roman" w:eastAsia="仿宋_GB2312"/>
                <w:color w:val="000000"/>
                <w:sz w:val="18"/>
                <w:szCs w:val="18"/>
                <w:lang w:eastAsia="zh-CN"/>
              </w:rPr>
              <w:t>名</w:t>
            </w: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森林防火工作完成率</w:t>
            </w:r>
          </w:p>
        </w:tc>
        <w:tc>
          <w:tcPr>
            <w:tcW w:w="1146" w:type="dxa"/>
            <w:gridSpan w:val="2"/>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95%</w:t>
            </w:r>
          </w:p>
        </w:tc>
        <w:tc>
          <w:tcPr>
            <w:tcW w:w="1202"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95%</w:t>
            </w:r>
          </w:p>
        </w:tc>
        <w:tc>
          <w:tcPr>
            <w:tcW w:w="718"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１</w:t>
            </w:r>
          </w:p>
        </w:tc>
        <w:tc>
          <w:tcPr>
            <w:tcW w:w="884"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１</w:t>
            </w:r>
          </w:p>
        </w:tc>
        <w:tc>
          <w:tcPr>
            <w:tcW w:w="1443" w:type="dxa"/>
            <w:noWrap w:val="0"/>
            <w:vAlign w:val="center"/>
          </w:tcPr>
          <w:p>
            <w:pPr>
              <w:widowControl/>
              <w:jc w:val="left"/>
              <w:rPr>
                <w:rFonts w:hint="eastAsia" w:ascii="Times New Roman" w:hAnsi="Times New Roman" w:eastAsia="仿宋_GB2312" w:cs="Times New Roman"/>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园林绿化管护工作完成率</w:t>
            </w:r>
          </w:p>
        </w:tc>
        <w:tc>
          <w:tcPr>
            <w:tcW w:w="1146" w:type="dxa"/>
            <w:gridSpan w:val="2"/>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95%</w:t>
            </w:r>
          </w:p>
        </w:tc>
        <w:tc>
          <w:tcPr>
            <w:tcW w:w="1202"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95%</w:t>
            </w:r>
          </w:p>
        </w:tc>
        <w:tc>
          <w:tcPr>
            <w:tcW w:w="718"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１</w:t>
            </w:r>
          </w:p>
        </w:tc>
        <w:tc>
          <w:tcPr>
            <w:tcW w:w="884"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１</w:t>
            </w:r>
          </w:p>
        </w:tc>
        <w:tc>
          <w:tcPr>
            <w:tcW w:w="1443" w:type="dxa"/>
            <w:noWrap w:val="0"/>
            <w:vAlign w:val="center"/>
          </w:tcPr>
          <w:p>
            <w:pPr>
              <w:widowControl/>
              <w:jc w:val="left"/>
              <w:rPr>
                <w:rFonts w:hint="eastAsia" w:ascii="Times New Roman" w:hAnsi="Times New Roman" w:eastAsia="仿宋_GB2312" w:cs="Times New Roman"/>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安保</w:t>
            </w:r>
            <w:r>
              <w:rPr>
                <w:rFonts w:hint="eastAsia" w:ascii="Times New Roman" w:hAnsi="Times New Roman" w:eastAsia="仿宋_GB2312" w:cs="Times New Roman"/>
                <w:color w:val="000000"/>
                <w:sz w:val="18"/>
                <w:szCs w:val="18"/>
                <w:lang w:eastAsia="zh-CN"/>
              </w:rPr>
              <w:t>合格</w:t>
            </w:r>
            <w:r>
              <w:rPr>
                <w:rFonts w:hint="eastAsia" w:ascii="Times New Roman" w:hAnsi="Times New Roman" w:eastAsia="仿宋_GB2312" w:cs="Times New Roman"/>
                <w:color w:val="000000"/>
                <w:sz w:val="18"/>
                <w:szCs w:val="18"/>
              </w:rPr>
              <w:t>率</w:t>
            </w:r>
          </w:p>
        </w:tc>
        <w:tc>
          <w:tcPr>
            <w:tcW w:w="1146" w:type="dxa"/>
            <w:gridSpan w:val="2"/>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95%</w:t>
            </w:r>
          </w:p>
        </w:tc>
        <w:tc>
          <w:tcPr>
            <w:tcW w:w="1202"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95%</w:t>
            </w:r>
          </w:p>
        </w:tc>
        <w:tc>
          <w:tcPr>
            <w:tcW w:w="718" w:type="dxa"/>
            <w:noWrap w:val="0"/>
            <w:vAlign w:val="center"/>
          </w:tcPr>
          <w:p>
            <w:pPr>
              <w:widowControl/>
              <w:jc w:val="left"/>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0.5</w:t>
            </w:r>
          </w:p>
        </w:tc>
        <w:tc>
          <w:tcPr>
            <w:tcW w:w="884" w:type="dxa"/>
            <w:noWrap w:val="0"/>
            <w:vAlign w:val="center"/>
          </w:tcPr>
          <w:p>
            <w:pPr>
              <w:widowControl/>
              <w:jc w:val="left"/>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0.5</w:t>
            </w:r>
          </w:p>
        </w:tc>
        <w:tc>
          <w:tcPr>
            <w:tcW w:w="1443" w:type="dxa"/>
            <w:noWrap w:val="0"/>
            <w:vAlign w:val="center"/>
          </w:tcPr>
          <w:p>
            <w:pPr>
              <w:widowControl/>
              <w:jc w:val="left"/>
              <w:rPr>
                <w:rFonts w:hint="eastAsia" w:ascii="Times New Roman" w:hAnsi="Times New Roman" w:eastAsia="仿宋_GB2312" w:cs="Times New Roman"/>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widowControl/>
              <w:jc w:val="left"/>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rPr>
              <w:t>卫生保洁率</w:t>
            </w:r>
          </w:p>
        </w:tc>
        <w:tc>
          <w:tcPr>
            <w:tcW w:w="1146" w:type="dxa"/>
            <w:gridSpan w:val="2"/>
            <w:noWrap w:val="0"/>
            <w:vAlign w:val="center"/>
          </w:tcPr>
          <w:p>
            <w:pPr>
              <w:widowControl/>
              <w:jc w:val="left"/>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rPr>
              <w:t>95%</w:t>
            </w:r>
          </w:p>
        </w:tc>
        <w:tc>
          <w:tcPr>
            <w:tcW w:w="1202" w:type="dxa"/>
            <w:noWrap w:val="0"/>
            <w:vAlign w:val="center"/>
          </w:tcPr>
          <w:p>
            <w:pPr>
              <w:widowControl/>
              <w:jc w:val="left"/>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rPr>
              <w:t>95%</w:t>
            </w:r>
          </w:p>
        </w:tc>
        <w:tc>
          <w:tcPr>
            <w:tcW w:w="718" w:type="dxa"/>
            <w:noWrap w:val="0"/>
            <w:vAlign w:val="center"/>
          </w:tcPr>
          <w:p>
            <w:pPr>
              <w:widowControl/>
              <w:jc w:val="left"/>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0.5</w:t>
            </w:r>
          </w:p>
        </w:tc>
        <w:tc>
          <w:tcPr>
            <w:tcW w:w="884" w:type="dxa"/>
            <w:noWrap w:val="0"/>
            <w:vAlign w:val="center"/>
          </w:tcPr>
          <w:p>
            <w:pPr>
              <w:widowControl/>
              <w:jc w:val="left"/>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0.5</w:t>
            </w:r>
          </w:p>
        </w:tc>
        <w:tc>
          <w:tcPr>
            <w:tcW w:w="1443" w:type="dxa"/>
            <w:noWrap w:val="0"/>
            <w:vAlign w:val="center"/>
          </w:tcPr>
          <w:p>
            <w:pPr>
              <w:widowControl/>
              <w:jc w:val="left"/>
              <w:rPr>
                <w:rFonts w:hint="eastAsia" w:ascii="Times New Roman" w:hAnsi="Times New Roman" w:eastAsia="仿宋_GB2312" w:cs="Times New Roman"/>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夏明震烈士纪念碑</w:t>
            </w:r>
            <w:r>
              <w:rPr>
                <w:rFonts w:hint="eastAsia" w:ascii="Times New Roman" w:hAnsi="Times New Roman" w:eastAsia="仿宋_GB2312" w:cs="Times New Roman"/>
                <w:color w:val="000000"/>
                <w:sz w:val="18"/>
                <w:szCs w:val="18"/>
                <w:lang w:eastAsia="zh-CN"/>
              </w:rPr>
              <w:t>周围</w:t>
            </w:r>
            <w:r>
              <w:rPr>
                <w:rFonts w:hint="eastAsia" w:ascii="Times New Roman" w:hAnsi="Times New Roman" w:eastAsia="仿宋_GB2312" w:cs="Times New Roman"/>
                <w:color w:val="000000"/>
                <w:sz w:val="18"/>
                <w:szCs w:val="18"/>
              </w:rPr>
              <w:t>环境整治</w:t>
            </w:r>
          </w:p>
        </w:tc>
        <w:tc>
          <w:tcPr>
            <w:tcW w:w="1146" w:type="dxa"/>
            <w:gridSpan w:val="2"/>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95%</w:t>
            </w:r>
          </w:p>
        </w:tc>
        <w:tc>
          <w:tcPr>
            <w:tcW w:w="1202"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95%</w:t>
            </w:r>
          </w:p>
        </w:tc>
        <w:tc>
          <w:tcPr>
            <w:tcW w:w="718" w:type="dxa"/>
            <w:noWrap w:val="0"/>
            <w:vAlign w:val="center"/>
          </w:tcPr>
          <w:p>
            <w:pPr>
              <w:widowControl/>
              <w:jc w:val="left"/>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0.5</w:t>
            </w:r>
          </w:p>
        </w:tc>
        <w:tc>
          <w:tcPr>
            <w:tcW w:w="884" w:type="dxa"/>
            <w:noWrap w:val="0"/>
            <w:vAlign w:val="center"/>
          </w:tcPr>
          <w:p>
            <w:pPr>
              <w:widowControl/>
              <w:jc w:val="left"/>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0.5</w:t>
            </w:r>
          </w:p>
        </w:tc>
        <w:tc>
          <w:tcPr>
            <w:tcW w:w="1443" w:type="dxa"/>
            <w:noWrap w:val="0"/>
            <w:vAlign w:val="center"/>
          </w:tcPr>
          <w:p>
            <w:pPr>
              <w:widowControl/>
              <w:jc w:val="left"/>
              <w:rPr>
                <w:rFonts w:hint="eastAsia" w:ascii="Times New Roman" w:hAnsi="Times New Roman" w:eastAsia="仿宋_GB2312" w:cs="Times New Roman"/>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widowControl/>
              <w:jc w:val="left"/>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rPr>
              <w:t>夏明震烈士纪念碑周边绿化恢复</w:t>
            </w:r>
          </w:p>
        </w:tc>
        <w:tc>
          <w:tcPr>
            <w:tcW w:w="1146" w:type="dxa"/>
            <w:gridSpan w:val="2"/>
            <w:noWrap w:val="0"/>
            <w:vAlign w:val="center"/>
          </w:tcPr>
          <w:p>
            <w:pPr>
              <w:widowControl/>
              <w:jc w:val="left"/>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rPr>
              <w:t>95%</w:t>
            </w:r>
          </w:p>
        </w:tc>
        <w:tc>
          <w:tcPr>
            <w:tcW w:w="1202" w:type="dxa"/>
            <w:noWrap w:val="0"/>
            <w:vAlign w:val="center"/>
          </w:tcPr>
          <w:p>
            <w:pPr>
              <w:widowControl/>
              <w:jc w:val="left"/>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rPr>
              <w:t>95%</w:t>
            </w:r>
          </w:p>
        </w:tc>
        <w:tc>
          <w:tcPr>
            <w:tcW w:w="718" w:type="dxa"/>
            <w:noWrap w:val="0"/>
            <w:vAlign w:val="center"/>
          </w:tcPr>
          <w:p>
            <w:pPr>
              <w:widowControl/>
              <w:jc w:val="left"/>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0.5</w:t>
            </w:r>
          </w:p>
        </w:tc>
        <w:tc>
          <w:tcPr>
            <w:tcW w:w="884" w:type="dxa"/>
            <w:noWrap w:val="0"/>
            <w:vAlign w:val="center"/>
          </w:tcPr>
          <w:p>
            <w:pPr>
              <w:widowControl/>
              <w:jc w:val="left"/>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0.5</w:t>
            </w:r>
          </w:p>
        </w:tc>
        <w:tc>
          <w:tcPr>
            <w:tcW w:w="1443" w:type="dxa"/>
            <w:noWrap w:val="0"/>
            <w:vAlign w:val="center"/>
          </w:tcPr>
          <w:p>
            <w:pPr>
              <w:widowControl/>
              <w:jc w:val="left"/>
              <w:rPr>
                <w:rFonts w:hint="eastAsia" w:ascii="Times New Roman" w:hAnsi="Times New Roman" w:eastAsia="仿宋_GB2312" w:cs="Times New Roman"/>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接待团队游客批次</w:t>
            </w:r>
          </w:p>
        </w:tc>
        <w:tc>
          <w:tcPr>
            <w:tcW w:w="1146" w:type="dxa"/>
            <w:gridSpan w:val="2"/>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600批次</w:t>
            </w:r>
          </w:p>
        </w:tc>
        <w:tc>
          <w:tcPr>
            <w:tcW w:w="1202"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＞700批次</w:t>
            </w:r>
          </w:p>
        </w:tc>
        <w:tc>
          <w:tcPr>
            <w:tcW w:w="718"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 xml:space="preserve"> １</w:t>
            </w:r>
          </w:p>
        </w:tc>
        <w:tc>
          <w:tcPr>
            <w:tcW w:w="884"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 xml:space="preserve"> １</w:t>
            </w:r>
          </w:p>
        </w:tc>
        <w:tc>
          <w:tcPr>
            <w:tcW w:w="1443" w:type="dxa"/>
            <w:noWrap w:val="0"/>
            <w:vAlign w:val="center"/>
          </w:tcPr>
          <w:p>
            <w:pPr>
              <w:widowControl/>
              <w:jc w:val="left"/>
              <w:rPr>
                <w:rFonts w:hint="eastAsia" w:ascii="Times New Roman" w:hAnsi="Times New Roman" w:eastAsia="仿宋_GB2312" w:cs="Times New Roman"/>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宣教讲解场次</w:t>
            </w:r>
          </w:p>
        </w:tc>
        <w:tc>
          <w:tcPr>
            <w:tcW w:w="1146" w:type="dxa"/>
            <w:gridSpan w:val="2"/>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800场次</w:t>
            </w:r>
          </w:p>
        </w:tc>
        <w:tc>
          <w:tcPr>
            <w:tcW w:w="1202"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＞1000场次</w:t>
            </w:r>
          </w:p>
        </w:tc>
        <w:tc>
          <w:tcPr>
            <w:tcW w:w="718"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 xml:space="preserve">  １</w:t>
            </w:r>
          </w:p>
        </w:tc>
        <w:tc>
          <w:tcPr>
            <w:tcW w:w="884"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 xml:space="preserve">  １</w:t>
            </w:r>
          </w:p>
        </w:tc>
        <w:tc>
          <w:tcPr>
            <w:tcW w:w="1443" w:type="dxa"/>
            <w:noWrap w:val="0"/>
            <w:vAlign w:val="center"/>
          </w:tcPr>
          <w:p>
            <w:pPr>
              <w:widowControl/>
              <w:jc w:val="left"/>
              <w:rPr>
                <w:rFonts w:hint="eastAsia" w:ascii="Times New Roman" w:hAnsi="Times New Roman" w:eastAsia="仿宋_GB2312" w:cs="Times New Roman"/>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开展清明.祭英烈活动</w:t>
            </w:r>
          </w:p>
        </w:tc>
        <w:tc>
          <w:tcPr>
            <w:tcW w:w="1146" w:type="dxa"/>
            <w:gridSpan w:val="2"/>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160次</w:t>
            </w:r>
          </w:p>
        </w:tc>
        <w:tc>
          <w:tcPr>
            <w:tcW w:w="1202"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190次</w:t>
            </w:r>
          </w:p>
        </w:tc>
        <w:tc>
          <w:tcPr>
            <w:tcW w:w="718"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 xml:space="preserve">  １</w:t>
            </w:r>
          </w:p>
        </w:tc>
        <w:tc>
          <w:tcPr>
            <w:tcW w:w="884"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 xml:space="preserve">  １</w:t>
            </w:r>
          </w:p>
        </w:tc>
        <w:tc>
          <w:tcPr>
            <w:tcW w:w="1443" w:type="dxa"/>
            <w:noWrap w:val="0"/>
            <w:vAlign w:val="center"/>
          </w:tcPr>
          <w:p>
            <w:pPr>
              <w:widowControl/>
              <w:jc w:val="left"/>
              <w:rPr>
                <w:rFonts w:hint="eastAsia" w:ascii="Times New Roman" w:hAnsi="Times New Roman" w:eastAsia="仿宋_GB2312" w:cs="Times New Roman"/>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举办9.30国家公祭日活动</w:t>
            </w:r>
          </w:p>
        </w:tc>
        <w:tc>
          <w:tcPr>
            <w:tcW w:w="1146" w:type="dxa"/>
            <w:gridSpan w:val="2"/>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1次</w:t>
            </w:r>
          </w:p>
        </w:tc>
        <w:tc>
          <w:tcPr>
            <w:tcW w:w="1202"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1次</w:t>
            </w:r>
          </w:p>
        </w:tc>
        <w:tc>
          <w:tcPr>
            <w:tcW w:w="718"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 xml:space="preserve">  １</w:t>
            </w:r>
          </w:p>
        </w:tc>
        <w:tc>
          <w:tcPr>
            <w:tcW w:w="884"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 xml:space="preserve">  １</w:t>
            </w:r>
          </w:p>
        </w:tc>
        <w:tc>
          <w:tcPr>
            <w:tcW w:w="1443" w:type="dxa"/>
            <w:noWrap w:val="0"/>
            <w:vAlign w:val="center"/>
          </w:tcPr>
          <w:p>
            <w:pPr>
              <w:widowControl/>
              <w:jc w:val="left"/>
              <w:rPr>
                <w:rFonts w:hint="eastAsia" w:ascii="Times New Roman" w:hAnsi="Times New Roman" w:eastAsia="仿宋_GB2312" w:cs="Times New Roman"/>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开展红色文化传承教育活动场次</w:t>
            </w:r>
          </w:p>
        </w:tc>
        <w:tc>
          <w:tcPr>
            <w:tcW w:w="1146" w:type="dxa"/>
            <w:gridSpan w:val="2"/>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 xml:space="preserve"> 100场次</w:t>
            </w:r>
          </w:p>
        </w:tc>
        <w:tc>
          <w:tcPr>
            <w:tcW w:w="1202"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100余场次</w:t>
            </w:r>
          </w:p>
        </w:tc>
        <w:tc>
          <w:tcPr>
            <w:tcW w:w="718"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 xml:space="preserve">  １</w:t>
            </w:r>
          </w:p>
        </w:tc>
        <w:tc>
          <w:tcPr>
            <w:tcW w:w="884"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 xml:space="preserve"> １</w:t>
            </w:r>
          </w:p>
        </w:tc>
        <w:tc>
          <w:tcPr>
            <w:tcW w:w="1443" w:type="dxa"/>
            <w:noWrap w:val="0"/>
            <w:vAlign w:val="center"/>
          </w:tcPr>
          <w:p>
            <w:pPr>
              <w:jc w:val="left"/>
              <w:rPr>
                <w:rFonts w:ascii="Times New Roman" w:hAnsi="Times New Roman" w:eastAsia="仿宋_GB2312"/>
                <w:color w:val="000000"/>
                <w:sz w:val="20"/>
                <w:szCs w:val="20"/>
                <w:highlight w:val="yellow"/>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widowControl/>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举办有关建党100周年大型陈展及演出活动</w:t>
            </w:r>
          </w:p>
        </w:tc>
        <w:tc>
          <w:tcPr>
            <w:tcW w:w="1146" w:type="dxa"/>
            <w:gridSpan w:val="2"/>
            <w:noWrap w:val="0"/>
            <w:vAlign w:val="center"/>
          </w:tcPr>
          <w:p>
            <w:pPr>
              <w:widowControl/>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7次</w:t>
            </w:r>
            <w:r>
              <w:rPr>
                <w:rFonts w:ascii="Times New Roman" w:hAnsi="Times New Roman" w:eastAsia="仿宋_GB2312"/>
                <w:color w:val="000000"/>
                <w:sz w:val="18"/>
                <w:szCs w:val="18"/>
              </w:rPr>
              <w:t>　</w:t>
            </w:r>
          </w:p>
        </w:tc>
        <w:tc>
          <w:tcPr>
            <w:tcW w:w="1202" w:type="dxa"/>
            <w:noWrap w:val="0"/>
            <w:vAlign w:val="center"/>
          </w:tcPr>
          <w:p>
            <w:pPr>
              <w:widowControl/>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7次</w:t>
            </w:r>
            <w:r>
              <w:rPr>
                <w:rFonts w:ascii="Times New Roman" w:hAnsi="Times New Roman" w:eastAsia="仿宋_GB2312"/>
                <w:color w:val="000000"/>
                <w:sz w:val="18"/>
                <w:szCs w:val="18"/>
              </w:rPr>
              <w:t>　</w:t>
            </w:r>
          </w:p>
        </w:tc>
        <w:tc>
          <w:tcPr>
            <w:tcW w:w="718" w:type="dxa"/>
            <w:noWrap w:val="0"/>
            <w:vAlign w:val="center"/>
          </w:tcPr>
          <w:p>
            <w:pPr>
              <w:widowControl/>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１</w:t>
            </w:r>
          </w:p>
        </w:tc>
        <w:tc>
          <w:tcPr>
            <w:tcW w:w="884" w:type="dxa"/>
            <w:noWrap w:val="0"/>
            <w:vAlign w:val="center"/>
          </w:tcPr>
          <w:p>
            <w:pPr>
              <w:widowControl/>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１</w:t>
            </w:r>
          </w:p>
        </w:tc>
        <w:tc>
          <w:tcPr>
            <w:tcW w:w="1443" w:type="dxa"/>
            <w:noWrap w:val="0"/>
            <w:vAlign w:val="center"/>
          </w:tcPr>
          <w:p>
            <w:pPr>
              <w:widowControl/>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widowControl/>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建党百年文物征集</w:t>
            </w:r>
          </w:p>
        </w:tc>
        <w:tc>
          <w:tcPr>
            <w:tcW w:w="1146" w:type="dxa"/>
            <w:gridSpan w:val="2"/>
            <w:noWrap w:val="0"/>
            <w:vAlign w:val="center"/>
          </w:tcPr>
          <w:p>
            <w:pPr>
              <w:widowControl/>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40件</w:t>
            </w:r>
          </w:p>
        </w:tc>
        <w:tc>
          <w:tcPr>
            <w:tcW w:w="1202" w:type="dxa"/>
            <w:noWrap w:val="0"/>
            <w:vAlign w:val="center"/>
          </w:tcPr>
          <w:p>
            <w:pPr>
              <w:widowControl/>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40余件</w:t>
            </w:r>
          </w:p>
        </w:tc>
        <w:tc>
          <w:tcPr>
            <w:tcW w:w="718" w:type="dxa"/>
            <w:noWrap w:val="0"/>
            <w:vAlign w:val="center"/>
          </w:tcPr>
          <w:p>
            <w:pPr>
              <w:widowControl/>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１</w:t>
            </w:r>
          </w:p>
        </w:tc>
        <w:tc>
          <w:tcPr>
            <w:tcW w:w="884" w:type="dxa"/>
            <w:noWrap w:val="0"/>
            <w:vAlign w:val="center"/>
          </w:tcPr>
          <w:p>
            <w:pPr>
              <w:widowControl/>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１</w:t>
            </w:r>
          </w:p>
        </w:tc>
        <w:tc>
          <w:tcPr>
            <w:tcW w:w="1443" w:type="dxa"/>
            <w:noWrap w:val="0"/>
            <w:vAlign w:val="center"/>
          </w:tcPr>
          <w:p>
            <w:pPr>
              <w:widowControl/>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因疫情影响导致征集工作滞后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纪念广场设计工程完工率</w:t>
            </w:r>
          </w:p>
        </w:tc>
        <w:tc>
          <w:tcPr>
            <w:tcW w:w="1146" w:type="dxa"/>
            <w:gridSpan w:val="2"/>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　95%</w:t>
            </w:r>
          </w:p>
        </w:tc>
        <w:tc>
          <w:tcPr>
            <w:tcW w:w="1202"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　95%</w:t>
            </w:r>
          </w:p>
        </w:tc>
        <w:tc>
          <w:tcPr>
            <w:tcW w:w="718"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１</w:t>
            </w:r>
          </w:p>
        </w:tc>
        <w:tc>
          <w:tcPr>
            <w:tcW w:w="884"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１</w:t>
            </w:r>
          </w:p>
        </w:tc>
        <w:tc>
          <w:tcPr>
            <w:tcW w:w="1443"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道路导向牌制作安装完工率</w:t>
            </w:r>
          </w:p>
        </w:tc>
        <w:tc>
          <w:tcPr>
            <w:tcW w:w="1146" w:type="dxa"/>
            <w:gridSpan w:val="2"/>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　95%</w:t>
            </w:r>
          </w:p>
        </w:tc>
        <w:tc>
          <w:tcPr>
            <w:tcW w:w="1202"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　95%</w:t>
            </w:r>
          </w:p>
        </w:tc>
        <w:tc>
          <w:tcPr>
            <w:tcW w:w="718"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１</w:t>
            </w:r>
          </w:p>
        </w:tc>
        <w:tc>
          <w:tcPr>
            <w:tcW w:w="884"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１</w:t>
            </w:r>
          </w:p>
        </w:tc>
        <w:tc>
          <w:tcPr>
            <w:tcW w:w="1443" w:type="dxa"/>
            <w:noWrap w:val="0"/>
            <w:vAlign w:val="center"/>
          </w:tcPr>
          <w:p>
            <w:pPr>
              <w:jc w:val="left"/>
              <w:rPr>
                <w:rFonts w:ascii="Times New Roman" w:hAnsi="Times New Roman"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游客服务中心升级改造完工率</w:t>
            </w:r>
          </w:p>
        </w:tc>
        <w:tc>
          <w:tcPr>
            <w:tcW w:w="1146" w:type="dxa"/>
            <w:gridSpan w:val="2"/>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　95%</w:t>
            </w:r>
          </w:p>
        </w:tc>
        <w:tc>
          <w:tcPr>
            <w:tcW w:w="1202"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　95%</w:t>
            </w:r>
          </w:p>
        </w:tc>
        <w:tc>
          <w:tcPr>
            <w:tcW w:w="718"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１</w:t>
            </w:r>
          </w:p>
        </w:tc>
        <w:tc>
          <w:tcPr>
            <w:tcW w:w="884"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１</w:t>
            </w:r>
          </w:p>
        </w:tc>
        <w:tc>
          <w:tcPr>
            <w:tcW w:w="1443" w:type="dxa"/>
            <w:noWrap w:val="0"/>
            <w:vAlign w:val="center"/>
          </w:tcPr>
          <w:p>
            <w:pPr>
              <w:jc w:val="left"/>
              <w:rPr>
                <w:rFonts w:ascii="Times New Roman" w:hAnsi="Times New Roman"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夏明震烈士纪念碑周围环境整治完工率</w:t>
            </w:r>
          </w:p>
        </w:tc>
        <w:tc>
          <w:tcPr>
            <w:tcW w:w="1146" w:type="dxa"/>
            <w:gridSpan w:val="2"/>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　95%</w:t>
            </w:r>
          </w:p>
        </w:tc>
        <w:tc>
          <w:tcPr>
            <w:tcW w:w="1202"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　95%</w:t>
            </w:r>
          </w:p>
        </w:tc>
        <w:tc>
          <w:tcPr>
            <w:tcW w:w="718"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１</w:t>
            </w:r>
          </w:p>
        </w:tc>
        <w:tc>
          <w:tcPr>
            <w:tcW w:w="884"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１</w:t>
            </w:r>
          </w:p>
        </w:tc>
        <w:tc>
          <w:tcPr>
            <w:tcW w:w="1443" w:type="dxa"/>
            <w:noWrap w:val="0"/>
            <w:vAlign w:val="center"/>
          </w:tcPr>
          <w:p>
            <w:pPr>
              <w:jc w:val="left"/>
              <w:rPr>
                <w:rFonts w:ascii="Times New Roman" w:hAnsi="Times New Roman"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陈家大屋修缮工程完工率</w:t>
            </w:r>
          </w:p>
        </w:tc>
        <w:tc>
          <w:tcPr>
            <w:tcW w:w="1146" w:type="dxa"/>
            <w:gridSpan w:val="2"/>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95%</w:t>
            </w:r>
          </w:p>
        </w:tc>
        <w:tc>
          <w:tcPr>
            <w:tcW w:w="1202"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95%</w:t>
            </w:r>
          </w:p>
        </w:tc>
        <w:tc>
          <w:tcPr>
            <w:tcW w:w="718"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１</w:t>
            </w:r>
          </w:p>
        </w:tc>
        <w:tc>
          <w:tcPr>
            <w:tcW w:w="884"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１</w:t>
            </w:r>
          </w:p>
        </w:tc>
        <w:tc>
          <w:tcPr>
            <w:tcW w:w="1443"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陈家大屋消安防工程完工率</w:t>
            </w:r>
          </w:p>
        </w:tc>
        <w:tc>
          <w:tcPr>
            <w:tcW w:w="1146" w:type="dxa"/>
            <w:gridSpan w:val="2"/>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95%　</w:t>
            </w:r>
          </w:p>
        </w:tc>
        <w:tc>
          <w:tcPr>
            <w:tcW w:w="1202"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95%</w:t>
            </w:r>
          </w:p>
        </w:tc>
        <w:tc>
          <w:tcPr>
            <w:tcW w:w="718"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１</w:t>
            </w:r>
          </w:p>
        </w:tc>
        <w:tc>
          <w:tcPr>
            <w:tcW w:w="884"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１</w:t>
            </w:r>
          </w:p>
        </w:tc>
        <w:tc>
          <w:tcPr>
            <w:tcW w:w="1443" w:type="dxa"/>
            <w:noWrap w:val="0"/>
            <w:vAlign w:val="center"/>
          </w:tcPr>
          <w:p>
            <w:pPr>
              <w:jc w:val="left"/>
              <w:rPr>
                <w:rFonts w:ascii="Times New Roman" w:hAnsi="Times New Roman"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增加安保人数</w:t>
            </w:r>
          </w:p>
        </w:tc>
        <w:tc>
          <w:tcPr>
            <w:tcW w:w="1146" w:type="dxa"/>
            <w:gridSpan w:val="2"/>
            <w:noWrap w:val="0"/>
            <w:vAlign w:val="center"/>
          </w:tcPr>
          <w:p>
            <w:pPr>
              <w:jc w:val="left"/>
              <w:rPr>
                <w:rFonts w:hint="eastAsia" w:ascii="Times New Roman" w:hAnsi="Times New Roman" w:eastAsia="仿宋_GB2312" w:cs="Times New Roman"/>
                <w:color w:val="000000"/>
                <w:sz w:val="18"/>
                <w:szCs w:val="18"/>
                <w:lang w:eastAsia="zh-CN"/>
              </w:rPr>
            </w:pPr>
            <w:r>
              <w:rPr>
                <w:rFonts w:hint="eastAsia" w:ascii="Times New Roman" w:hAnsi="Times New Roman" w:eastAsia="仿宋_GB2312" w:cs="Times New Roman"/>
                <w:color w:val="000000"/>
                <w:sz w:val="18"/>
                <w:szCs w:val="18"/>
              </w:rPr>
              <w:t>2</w:t>
            </w:r>
            <w:r>
              <w:rPr>
                <w:rFonts w:hint="eastAsia" w:ascii="Times New Roman" w:hAnsi="Times New Roman" w:eastAsia="仿宋_GB2312" w:cs="Times New Roman"/>
                <w:color w:val="000000"/>
                <w:sz w:val="18"/>
                <w:szCs w:val="18"/>
                <w:lang w:eastAsia="zh-CN"/>
              </w:rPr>
              <w:t>个</w:t>
            </w:r>
          </w:p>
        </w:tc>
        <w:tc>
          <w:tcPr>
            <w:tcW w:w="1202" w:type="dxa"/>
            <w:noWrap w:val="0"/>
            <w:vAlign w:val="center"/>
          </w:tcPr>
          <w:p>
            <w:pPr>
              <w:jc w:val="left"/>
              <w:rPr>
                <w:rFonts w:hint="eastAsia" w:ascii="Times New Roman" w:hAnsi="Times New Roman" w:eastAsia="仿宋_GB2312" w:cs="Times New Roman"/>
                <w:color w:val="000000"/>
                <w:sz w:val="18"/>
                <w:szCs w:val="18"/>
                <w:lang w:eastAsia="zh-CN"/>
              </w:rPr>
            </w:pPr>
            <w:r>
              <w:rPr>
                <w:rFonts w:hint="eastAsia" w:ascii="Times New Roman" w:hAnsi="Times New Roman" w:eastAsia="仿宋_GB2312" w:cs="Times New Roman"/>
                <w:color w:val="000000"/>
                <w:sz w:val="18"/>
                <w:szCs w:val="18"/>
              </w:rPr>
              <w:t>6</w:t>
            </w:r>
            <w:r>
              <w:rPr>
                <w:rFonts w:hint="eastAsia" w:ascii="Times New Roman" w:hAnsi="Times New Roman" w:eastAsia="仿宋_GB2312" w:cs="Times New Roman"/>
                <w:color w:val="000000"/>
                <w:sz w:val="18"/>
                <w:szCs w:val="18"/>
                <w:lang w:eastAsia="zh-CN"/>
              </w:rPr>
              <w:t>个</w:t>
            </w:r>
          </w:p>
        </w:tc>
        <w:tc>
          <w:tcPr>
            <w:tcW w:w="718" w:type="dxa"/>
            <w:noWrap w:val="0"/>
            <w:vAlign w:val="center"/>
          </w:tcPr>
          <w:p>
            <w:pPr>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１</w:t>
            </w:r>
          </w:p>
        </w:tc>
        <w:tc>
          <w:tcPr>
            <w:tcW w:w="884" w:type="dxa"/>
            <w:noWrap w:val="0"/>
            <w:vAlign w:val="center"/>
          </w:tcPr>
          <w:p>
            <w:pPr>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１</w:t>
            </w:r>
          </w:p>
        </w:tc>
        <w:tc>
          <w:tcPr>
            <w:tcW w:w="1443"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陈家大屋旧址属国家</w:t>
            </w:r>
            <w:r>
              <w:rPr>
                <w:rFonts w:hint="eastAsia" w:ascii="Times New Roman" w:hAnsi="Times New Roman" w:eastAsia="仿宋_GB2312"/>
                <w:color w:val="000000"/>
                <w:sz w:val="18"/>
                <w:szCs w:val="18"/>
                <w:lang w:eastAsia="zh-CN"/>
              </w:rPr>
              <w:t>重点</w:t>
            </w:r>
            <w:r>
              <w:rPr>
                <w:rFonts w:hint="eastAsia" w:ascii="Times New Roman" w:hAnsi="Times New Roman" w:eastAsia="仿宋_GB2312"/>
                <w:color w:val="000000"/>
                <w:sz w:val="18"/>
                <w:szCs w:val="18"/>
              </w:rPr>
              <w:t>文物保护单位，必须按国保单位标准配备安保值守人员，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widowControl/>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纪念馆布展工程完工率</w:t>
            </w:r>
          </w:p>
        </w:tc>
        <w:tc>
          <w:tcPr>
            <w:tcW w:w="1146" w:type="dxa"/>
            <w:gridSpan w:val="2"/>
            <w:noWrap w:val="0"/>
            <w:vAlign w:val="center"/>
          </w:tcPr>
          <w:p>
            <w:pPr>
              <w:widowControl/>
              <w:jc w:val="left"/>
              <w:rPr>
                <w:rFonts w:ascii="Times New Roman" w:hAnsi="Times New Roman" w:eastAsia="仿宋_GB2312"/>
                <w:color w:val="000000"/>
                <w:sz w:val="20"/>
                <w:szCs w:val="20"/>
              </w:rPr>
            </w:pPr>
            <w:r>
              <w:rPr>
                <w:rFonts w:hint="eastAsia" w:ascii="Times New Roman" w:hAnsi="Times New Roman" w:eastAsia="仿宋_GB2312"/>
                <w:color w:val="000000"/>
                <w:sz w:val="20"/>
                <w:szCs w:val="20"/>
              </w:rPr>
              <w:t>95%</w:t>
            </w:r>
          </w:p>
        </w:tc>
        <w:tc>
          <w:tcPr>
            <w:tcW w:w="1202" w:type="dxa"/>
            <w:noWrap w:val="0"/>
            <w:vAlign w:val="center"/>
          </w:tcPr>
          <w:p>
            <w:pPr>
              <w:widowControl/>
              <w:jc w:val="left"/>
              <w:rPr>
                <w:rFonts w:ascii="Times New Roman" w:hAnsi="Times New Roman" w:eastAsia="仿宋_GB2312"/>
                <w:color w:val="000000"/>
                <w:sz w:val="20"/>
                <w:szCs w:val="20"/>
              </w:rPr>
            </w:pPr>
            <w:r>
              <w:rPr>
                <w:rFonts w:hint="eastAsia" w:ascii="Times New Roman" w:hAnsi="Times New Roman" w:eastAsia="仿宋_GB2312"/>
                <w:color w:val="000000"/>
                <w:sz w:val="20"/>
                <w:szCs w:val="20"/>
              </w:rPr>
              <w:t>95%</w:t>
            </w:r>
          </w:p>
        </w:tc>
        <w:tc>
          <w:tcPr>
            <w:tcW w:w="718" w:type="dxa"/>
            <w:noWrap w:val="0"/>
            <w:vAlign w:val="center"/>
          </w:tcPr>
          <w:p>
            <w:pPr>
              <w:widowControl/>
              <w:jc w:val="left"/>
              <w:rPr>
                <w:rFonts w:hint="eastAsia"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１</w:t>
            </w:r>
          </w:p>
        </w:tc>
        <w:tc>
          <w:tcPr>
            <w:tcW w:w="884" w:type="dxa"/>
            <w:noWrap w:val="0"/>
            <w:vAlign w:val="center"/>
          </w:tcPr>
          <w:p>
            <w:pPr>
              <w:widowControl/>
              <w:jc w:val="left"/>
              <w:rPr>
                <w:rFonts w:hint="eastAsia"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１</w:t>
            </w:r>
          </w:p>
        </w:tc>
        <w:tc>
          <w:tcPr>
            <w:tcW w:w="1443" w:type="dxa"/>
            <w:noWrap w:val="0"/>
            <w:vAlign w:val="center"/>
          </w:tcPr>
          <w:p>
            <w:pPr>
              <w:widowControl/>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widowControl/>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消防工程完工率</w:t>
            </w:r>
          </w:p>
        </w:tc>
        <w:tc>
          <w:tcPr>
            <w:tcW w:w="1146" w:type="dxa"/>
            <w:gridSpan w:val="2"/>
            <w:noWrap w:val="0"/>
            <w:vAlign w:val="center"/>
          </w:tcPr>
          <w:p>
            <w:pPr>
              <w:widowControl/>
              <w:jc w:val="left"/>
              <w:rPr>
                <w:rFonts w:ascii="Times New Roman" w:hAnsi="Times New Roman" w:eastAsia="仿宋_GB2312"/>
                <w:color w:val="000000"/>
                <w:sz w:val="20"/>
                <w:szCs w:val="20"/>
              </w:rPr>
            </w:pPr>
            <w:r>
              <w:rPr>
                <w:rFonts w:hint="eastAsia" w:ascii="Times New Roman" w:hAnsi="Times New Roman" w:eastAsia="仿宋_GB2312"/>
                <w:color w:val="000000"/>
                <w:sz w:val="20"/>
                <w:szCs w:val="20"/>
              </w:rPr>
              <w:t>95%</w:t>
            </w:r>
            <w:r>
              <w:rPr>
                <w:rFonts w:ascii="Times New Roman" w:hAnsi="Times New Roman" w:eastAsia="仿宋_GB2312"/>
                <w:color w:val="000000"/>
                <w:sz w:val="20"/>
                <w:szCs w:val="20"/>
              </w:rPr>
              <w:t>　</w:t>
            </w:r>
          </w:p>
        </w:tc>
        <w:tc>
          <w:tcPr>
            <w:tcW w:w="1202" w:type="dxa"/>
            <w:noWrap w:val="0"/>
            <w:vAlign w:val="center"/>
          </w:tcPr>
          <w:p>
            <w:pPr>
              <w:widowControl/>
              <w:jc w:val="left"/>
              <w:rPr>
                <w:rFonts w:ascii="Times New Roman" w:hAnsi="Times New Roman" w:eastAsia="仿宋_GB2312"/>
                <w:color w:val="000000"/>
                <w:sz w:val="20"/>
                <w:szCs w:val="20"/>
              </w:rPr>
            </w:pPr>
            <w:r>
              <w:rPr>
                <w:rFonts w:hint="eastAsia" w:ascii="Times New Roman" w:hAnsi="Times New Roman" w:eastAsia="仿宋_GB2312"/>
                <w:color w:val="000000"/>
                <w:sz w:val="20"/>
                <w:szCs w:val="20"/>
              </w:rPr>
              <w:t>95%</w:t>
            </w:r>
            <w:r>
              <w:rPr>
                <w:rFonts w:ascii="Times New Roman" w:hAnsi="Times New Roman" w:eastAsia="仿宋_GB2312"/>
                <w:color w:val="000000"/>
                <w:sz w:val="20"/>
                <w:szCs w:val="20"/>
              </w:rPr>
              <w:t>　</w:t>
            </w:r>
          </w:p>
        </w:tc>
        <w:tc>
          <w:tcPr>
            <w:tcW w:w="718" w:type="dxa"/>
            <w:noWrap w:val="0"/>
            <w:vAlign w:val="center"/>
          </w:tcPr>
          <w:p>
            <w:pPr>
              <w:widowControl/>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１</w:t>
            </w:r>
          </w:p>
        </w:tc>
        <w:tc>
          <w:tcPr>
            <w:tcW w:w="884" w:type="dxa"/>
            <w:noWrap w:val="0"/>
            <w:vAlign w:val="center"/>
          </w:tcPr>
          <w:p>
            <w:pPr>
              <w:widowControl/>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 xml:space="preserve">  １</w:t>
            </w:r>
          </w:p>
        </w:tc>
        <w:tc>
          <w:tcPr>
            <w:tcW w:w="1443" w:type="dxa"/>
            <w:noWrap w:val="0"/>
            <w:vAlign w:val="center"/>
          </w:tcPr>
          <w:p>
            <w:pPr>
              <w:widowControl/>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restart"/>
            <w:noWrap w:val="0"/>
            <w:vAlign w:val="center"/>
          </w:tcPr>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质量指标</w:t>
            </w:r>
          </w:p>
        </w:tc>
        <w:tc>
          <w:tcPr>
            <w:tcW w:w="1078"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场馆运行维护各项工作验收合格率</w:t>
            </w:r>
          </w:p>
        </w:tc>
        <w:tc>
          <w:tcPr>
            <w:tcW w:w="1146" w:type="dxa"/>
            <w:gridSpan w:val="2"/>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　95%</w:t>
            </w:r>
          </w:p>
        </w:tc>
        <w:tc>
          <w:tcPr>
            <w:tcW w:w="1202"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　95%</w:t>
            </w:r>
          </w:p>
        </w:tc>
        <w:tc>
          <w:tcPr>
            <w:tcW w:w="718" w:type="dxa"/>
            <w:noWrap w:val="0"/>
            <w:vAlign w:val="center"/>
          </w:tcPr>
          <w:p>
            <w:pPr>
              <w:widowControl/>
              <w:jc w:val="left"/>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rPr>
              <w:t>　</w:t>
            </w:r>
            <w:r>
              <w:rPr>
                <w:rFonts w:hint="eastAsia" w:ascii="Times New Roman" w:hAnsi="Times New Roman" w:eastAsia="仿宋_GB2312" w:cs="Times New Roman"/>
                <w:color w:val="000000"/>
                <w:sz w:val="18"/>
                <w:szCs w:val="18"/>
                <w:lang w:val="en-US" w:eastAsia="zh-CN"/>
              </w:rPr>
              <w:t>0.5</w:t>
            </w:r>
          </w:p>
        </w:tc>
        <w:tc>
          <w:tcPr>
            <w:tcW w:w="884" w:type="dxa"/>
            <w:noWrap w:val="0"/>
            <w:vAlign w:val="center"/>
          </w:tcPr>
          <w:p>
            <w:pPr>
              <w:widowControl/>
              <w:jc w:val="left"/>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rPr>
              <w:t>　</w:t>
            </w:r>
            <w:r>
              <w:rPr>
                <w:rFonts w:hint="eastAsia" w:ascii="Times New Roman" w:hAnsi="Times New Roman" w:eastAsia="仿宋_GB2312" w:cs="Times New Roman"/>
                <w:color w:val="000000"/>
                <w:sz w:val="18"/>
                <w:szCs w:val="18"/>
                <w:lang w:val="en-US" w:eastAsia="zh-CN"/>
              </w:rPr>
              <w:t>0.5</w:t>
            </w:r>
          </w:p>
        </w:tc>
        <w:tc>
          <w:tcPr>
            <w:tcW w:w="1443" w:type="dxa"/>
            <w:noWrap w:val="0"/>
            <w:vAlign w:val="center"/>
          </w:tcPr>
          <w:p>
            <w:pPr>
              <w:widowControl/>
              <w:jc w:val="left"/>
              <w:rPr>
                <w:rFonts w:hint="eastAsia" w:ascii="Times New Roman" w:hAnsi="Times New Roman" w:eastAsia="仿宋_GB2312" w:cs="Times New Roman"/>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园区运行维护各项工作验收合格率</w:t>
            </w:r>
          </w:p>
        </w:tc>
        <w:tc>
          <w:tcPr>
            <w:tcW w:w="1146" w:type="dxa"/>
            <w:gridSpan w:val="2"/>
            <w:noWrap w:val="0"/>
            <w:vAlign w:val="center"/>
          </w:tcPr>
          <w:p>
            <w:pPr>
              <w:widowControl/>
              <w:jc w:val="left"/>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rPr>
              <w:t>　95%</w:t>
            </w:r>
          </w:p>
        </w:tc>
        <w:tc>
          <w:tcPr>
            <w:tcW w:w="1202" w:type="dxa"/>
            <w:noWrap w:val="0"/>
            <w:vAlign w:val="center"/>
          </w:tcPr>
          <w:p>
            <w:pPr>
              <w:widowControl/>
              <w:jc w:val="left"/>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rPr>
              <w:t>　95%</w:t>
            </w:r>
          </w:p>
        </w:tc>
        <w:tc>
          <w:tcPr>
            <w:tcW w:w="718" w:type="dxa"/>
            <w:noWrap w:val="0"/>
            <w:vAlign w:val="center"/>
          </w:tcPr>
          <w:p>
            <w:pPr>
              <w:widowControl/>
              <w:jc w:val="left"/>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0.5</w:t>
            </w:r>
          </w:p>
        </w:tc>
        <w:tc>
          <w:tcPr>
            <w:tcW w:w="884" w:type="dxa"/>
            <w:noWrap w:val="0"/>
            <w:vAlign w:val="center"/>
          </w:tcPr>
          <w:p>
            <w:pPr>
              <w:widowControl/>
              <w:jc w:val="left"/>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0.5</w:t>
            </w:r>
          </w:p>
        </w:tc>
        <w:tc>
          <w:tcPr>
            <w:tcW w:w="1443" w:type="dxa"/>
            <w:noWrap w:val="0"/>
            <w:vAlign w:val="center"/>
          </w:tcPr>
          <w:p>
            <w:pPr>
              <w:widowControl/>
              <w:jc w:val="left"/>
              <w:rPr>
                <w:rFonts w:hint="eastAsia" w:ascii="Times New Roman" w:hAnsi="Times New Roman" w:eastAsia="仿宋_GB2312" w:cs="Times New Roman"/>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纪念馆免费接待团队游客</w:t>
            </w:r>
          </w:p>
        </w:tc>
        <w:tc>
          <w:tcPr>
            <w:tcW w:w="1146" w:type="dxa"/>
            <w:gridSpan w:val="2"/>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600批次</w:t>
            </w:r>
          </w:p>
        </w:tc>
        <w:tc>
          <w:tcPr>
            <w:tcW w:w="1202"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700余批次</w:t>
            </w:r>
          </w:p>
        </w:tc>
        <w:tc>
          <w:tcPr>
            <w:tcW w:w="718" w:type="dxa"/>
            <w:noWrap w:val="0"/>
            <w:vAlign w:val="center"/>
          </w:tcPr>
          <w:p>
            <w:pPr>
              <w:widowControl/>
              <w:jc w:val="left"/>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rPr>
              <w:t xml:space="preserve"> </w:t>
            </w:r>
            <w:r>
              <w:rPr>
                <w:rFonts w:hint="eastAsia" w:ascii="Times New Roman" w:hAnsi="Times New Roman" w:eastAsia="仿宋_GB2312" w:cs="Times New Roman"/>
                <w:color w:val="000000"/>
                <w:sz w:val="18"/>
                <w:szCs w:val="18"/>
                <w:lang w:val="en-US" w:eastAsia="zh-CN"/>
              </w:rPr>
              <w:t>0.5</w:t>
            </w:r>
          </w:p>
        </w:tc>
        <w:tc>
          <w:tcPr>
            <w:tcW w:w="884"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 xml:space="preserve">  </w:t>
            </w:r>
            <w:r>
              <w:rPr>
                <w:rFonts w:hint="eastAsia" w:ascii="Times New Roman" w:hAnsi="Times New Roman" w:eastAsia="仿宋_GB2312" w:cs="Times New Roman"/>
                <w:color w:val="000000"/>
                <w:sz w:val="18"/>
                <w:szCs w:val="18"/>
                <w:lang w:val="en-US" w:eastAsia="zh-CN"/>
              </w:rPr>
              <w:t>0.5</w:t>
            </w:r>
          </w:p>
        </w:tc>
        <w:tc>
          <w:tcPr>
            <w:tcW w:w="1443" w:type="dxa"/>
            <w:noWrap w:val="0"/>
            <w:vAlign w:val="center"/>
          </w:tcPr>
          <w:p>
            <w:pPr>
              <w:widowControl/>
              <w:jc w:val="left"/>
              <w:rPr>
                <w:rFonts w:hint="eastAsia" w:ascii="Times New Roman" w:hAnsi="Times New Roman" w:eastAsia="仿宋_GB2312" w:cs="Times New Roman"/>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widowControl/>
              <w:jc w:val="left"/>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rPr>
              <w:t>陈家大屋免费接待团队游客</w:t>
            </w:r>
          </w:p>
        </w:tc>
        <w:tc>
          <w:tcPr>
            <w:tcW w:w="1146" w:type="dxa"/>
            <w:gridSpan w:val="2"/>
            <w:noWrap w:val="0"/>
            <w:vAlign w:val="center"/>
          </w:tcPr>
          <w:p>
            <w:pPr>
              <w:widowControl/>
              <w:jc w:val="left"/>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rPr>
              <w:t>600批次</w:t>
            </w:r>
          </w:p>
        </w:tc>
        <w:tc>
          <w:tcPr>
            <w:tcW w:w="1202" w:type="dxa"/>
            <w:noWrap w:val="0"/>
            <w:vAlign w:val="center"/>
          </w:tcPr>
          <w:p>
            <w:pPr>
              <w:widowControl/>
              <w:jc w:val="left"/>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rPr>
              <w:t>700余批次</w:t>
            </w:r>
          </w:p>
        </w:tc>
        <w:tc>
          <w:tcPr>
            <w:tcW w:w="718" w:type="dxa"/>
            <w:noWrap w:val="0"/>
            <w:vAlign w:val="center"/>
          </w:tcPr>
          <w:p>
            <w:pPr>
              <w:widowControl/>
              <w:jc w:val="left"/>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0.5</w:t>
            </w:r>
          </w:p>
        </w:tc>
        <w:tc>
          <w:tcPr>
            <w:tcW w:w="884" w:type="dxa"/>
            <w:noWrap w:val="0"/>
            <w:vAlign w:val="center"/>
          </w:tcPr>
          <w:p>
            <w:pPr>
              <w:widowControl/>
              <w:jc w:val="left"/>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0.5</w:t>
            </w:r>
          </w:p>
        </w:tc>
        <w:tc>
          <w:tcPr>
            <w:tcW w:w="1443" w:type="dxa"/>
            <w:noWrap w:val="0"/>
            <w:vAlign w:val="center"/>
          </w:tcPr>
          <w:p>
            <w:pPr>
              <w:widowControl/>
              <w:jc w:val="left"/>
              <w:rPr>
                <w:rFonts w:hint="eastAsia" w:ascii="Times New Roman" w:hAnsi="Times New Roman" w:eastAsia="仿宋_GB2312" w:cs="Times New Roman"/>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园区绿化日常管护率</w:t>
            </w:r>
          </w:p>
        </w:tc>
        <w:tc>
          <w:tcPr>
            <w:tcW w:w="1146" w:type="dxa"/>
            <w:gridSpan w:val="2"/>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 xml:space="preserve"> 95%</w:t>
            </w:r>
          </w:p>
        </w:tc>
        <w:tc>
          <w:tcPr>
            <w:tcW w:w="1202"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 xml:space="preserve">  95%</w:t>
            </w:r>
          </w:p>
        </w:tc>
        <w:tc>
          <w:tcPr>
            <w:tcW w:w="718"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 xml:space="preserve"> １</w:t>
            </w:r>
          </w:p>
        </w:tc>
        <w:tc>
          <w:tcPr>
            <w:tcW w:w="884"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 xml:space="preserve">  １</w:t>
            </w:r>
          </w:p>
        </w:tc>
        <w:tc>
          <w:tcPr>
            <w:tcW w:w="1443" w:type="dxa"/>
            <w:noWrap w:val="0"/>
            <w:vAlign w:val="center"/>
          </w:tcPr>
          <w:p>
            <w:pPr>
              <w:widowControl/>
              <w:jc w:val="left"/>
              <w:rPr>
                <w:rFonts w:hint="eastAsia" w:ascii="Times New Roman" w:hAnsi="Times New Roman" w:eastAsia="仿宋_GB2312" w:cs="Times New Roman"/>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举办重要活动场次达标率</w:t>
            </w:r>
          </w:p>
        </w:tc>
        <w:tc>
          <w:tcPr>
            <w:tcW w:w="1146" w:type="dxa"/>
            <w:gridSpan w:val="2"/>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95%</w:t>
            </w:r>
          </w:p>
        </w:tc>
        <w:tc>
          <w:tcPr>
            <w:tcW w:w="1202"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95%</w:t>
            </w:r>
          </w:p>
        </w:tc>
        <w:tc>
          <w:tcPr>
            <w:tcW w:w="718"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 xml:space="preserve">  １</w:t>
            </w:r>
          </w:p>
        </w:tc>
        <w:tc>
          <w:tcPr>
            <w:tcW w:w="884"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 xml:space="preserve">  １</w:t>
            </w:r>
          </w:p>
        </w:tc>
        <w:tc>
          <w:tcPr>
            <w:tcW w:w="1443" w:type="dxa"/>
            <w:noWrap w:val="0"/>
            <w:vAlign w:val="center"/>
          </w:tcPr>
          <w:p>
            <w:pPr>
              <w:widowControl/>
              <w:jc w:val="left"/>
              <w:rPr>
                <w:rFonts w:hint="eastAsia" w:ascii="Times New Roman" w:hAnsi="Times New Roman" w:eastAsia="仿宋_GB2312" w:cs="Times New Roman"/>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保障活动正常进行</w:t>
            </w:r>
          </w:p>
        </w:tc>
        <w:tc>
          <w:tcPr>
            <w:tcW w:w="1146" w:type="dxa"/>
            <w:gridSpan w:val="2"/>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有效保障　</w:t>
            </w:r>
          </w:p>
        </w:tc>
        <w:tc>
          <w:tcPr>
            <w:tcW w:w="1202"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有效保障　</w:t>
            </w:r>
          </w:p>
        </w:tc>
        <w:tc>
          <w:tcPr>
            <w:tcW w:w="718"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１</w:t>
            </w:r>
          </w:p>
        </w:tc>
        <w:tc>
          <w:tcPr>
            <w:tcW w:w="884"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１</w:t>
            </w:r>
          </w:p>
        </w:tc>
        <w:tc>
          <w:tcPr>
            <w:tcW w:w="1443" w:type="dxa"/>
            <w:noWrap w:val="0"/>
            <w:vAlign w:val="center"/>
          </w:tcPr>
          <w:p>
            <w:pPr>
              <w:widowControl/>
              <w:jc w:val="left"/>
              <w:rPr>
                <w:rFonts w:hint="eastAsia" w:ascii="Times New Roman" w:hAnsi="Times New Roman" w:eastAsia="仿宋_GB2312" w:cs="Times New Roman"/>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纪念广场设计工程验收合格率</w:t>
            </w:r>
          </w:p>
        </w:tc>
        <w:tc>
          <w:tcPr>
            <w:tcW w:w="1146" w:type="dxa"/>
            <w:gridSpan w:val="2"/>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　95%</w:t>
            </w:r>
          </w:p>
        </w:tc>
        <w:tc>
          <w:tcPr>
            <w:tcW w:w="1202" w:type="dxa"/>
            <w:noWrap w:val="0"/>
            <w:vAlign w:val="center"/>
          </w:tcPr>
          <w:p>
            <w:pPr>
              <w:widowControl/>
              <w:jc w:val="left"/>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rPr>
              <w:t>　95%</w:t>
            </w:r>
          </w:p>
        </w:tc>
        <w:tc>
          <w:tcPr>
            <w:tcW w:w="718" w:type="dxa"/>
            <w:noWrap w:val="0"/>
            <w:vAlign w:val="center"/>
          </w:tcPr>
          <w:p>
            <w:pPr>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１</w:t>
            </w:r>
          </w:p>
        </w:tc>
        <w:tc>
          <w:tcPr>
            <w:tcW w:w="884" w:type="dxa"/>
            <w:noWrap w:val="0"/>
            <w:vAlign w:val="center"/>
          </w:tcPr>
          <w:p>
            <w:pPr>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１</w:t>
            </w:r>
          </w:p>
        </w:tc>
        <w:tc>
          <w:tcPr>
            <w:tcW w:w="1443"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jc w:val="center"/>
              <w:rPr>
                <w:rFonts w:ascii="Times New Roman" w:hAnsi="Times New Roman" w:eastAsia="仿宋_GB2312"/>
                <w:color w:val="000000"/>
                <w:sz w:val="18"/>
                <w:szCs w:val="18"/>
              </w:rPr>
            </w:pPr>
            <w:r>
              <w:rPr>
                <w:rFonts w:hint="eastAsia" w:eastAsia="仿宋" w:cs="仿宋"/>
                <w:sz w:val="18"/>
                <w:szCs w:val="18"/>
              </w:rPr>
              <w:t>道路导向牌制作安装验收合格率率</w:t>
            </w:r>
          </w:p>
        </w:tc>
        <w:tc>
          <w:tcPr>
            <w:tcW w:w="1146" w:type="dxa"/>
            <w:gridSpan w:val="2"/>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95%</w:t>
            </w:r>
          </w:p>
        </w:tc>
        <w:tc>
          <w:tcPr>
            <w:tcW w:w="1202"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95%</w:t>
            </w:r>
          </w:p>
        </w:tc>
        <w:tc>
          <w:tcPr>
            <w:tcW w:w="718" w:type="dxa"/>
            <w:noWrap w:val="0"/>
            <w:vAlign w:val="center"/>
          </w:tcPr>
          <w:p>
            <w:pPr>
              <w:jc w:val="center"/>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１</w:t>
            </w:r>
          </w:p>
        </w:tc>
        <w:tc>
          <w:tcPr>
            <w:tcW w:w="884" w:type="dxa"/>
            <w:noWrap w:val="0"/>
            <w:vAlign w:val="center"/>
          </w:tcPr>
          <w:p>
            <w:pPr>
              <w:jc w:val="center"/>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１</w:t>
            </w:r>
          </w:p>
        </w:tc>
        <w:tc>
          <w:tcPr>
            <w:tcW w:w="1443" w:type="dxa"/>
            <w:noWrap w:val="0"/>
            <w:vAlign w:val="center"/>
          </w:tcPr>
          <w:p>
            <w:pPr>
              <w:jc w:val="left"/>
              <w:rPr>
                <w:rFonts w:ascii="Times New Roman" w:hAnsi="Times New Roman"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jc w:val="left"/>
              <w:rPr>
                <w:rFonts w:ascii="Times New Roman" w:hAnsi="Times New Roman" w:eastAsia="仿宋_GB2312"/>
                <w:color w:val="000000"/>
                <w:sz w:val="18"/>
                <w:szCs w:val="18"/>
              </w:rPr>
            </w:pPr>
            <w:r>
              <w:rPr>
                <w:rFonts w:hint="eastAsia" w:eastAsia="仿宋" w:cs="仿宋"/>
                <w:sz w:val="18"/>
                <w:szCs w:val="18"/>
              </w:rPr>
              <w:t>游客服务中心升级改造验收合格率</w:t>
            </w:r>
          </w:p>
        </w:tc>
        <w:tc>
          <w:tcPr>
            <w:tcW w:w="1146" w:type="dxa"/>
            <w:gridSpan w:val="2"/>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95%</w:t>
            </w:r>
          </w:p>
        </w:tc>
        <w:tc>
          <w:tcPr>
            <w:tcW w:w="1202"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95%</w:t>
            </w:r>
          </w:p>
        </w:tc>
        <w:tc>
          <w:tcPr>
            <w:tcW w:w="718" w:type="dxa"/>
            <w:noWrap w:val="0"/>
            <w:vAlign w:val="center"/>
          </w:tcPr>
          <w:p>
            <w:pPr>
              <w:jc w:val="center"/>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１</w:t>
            </w:r>
          </w:p>
        </w:tc>
        <w:tc>
          <w:tcPr>
            <w:tcW w:w="884" w:type="dxa"/>
            <w:noWrap w:val="0"/>
            <w:vAlign w:val="center"/>
          </w:tcPr>
          <w:p>
            <w:pPr>
              <w:jc w:val="center"/>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１</w:t>
            </w:r>
          </w:p>
        </w:tc>
        <w:tc>
          <w:tcPr>
            <w:tcW w:w="1443" w:type="dxa"/>
            <w:noWrap w:val="0"/>
            <w:vAlign w:val="center"/>
          </w:tcPr>
          <w:p>
            <w:pPr>
              <w:jc w:val="left"/>
              <w:rPr>
                <w:rFonts w:ascii="Times New Roman" w:hAnsi="Times New Roman"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jc w:val="left"/>
              <w:rPr>
                <w:rFonts w:ascii="Times New Roman" w:hAnsi="Times New Roman" w:eastAsia="仿宋_GB2312"/>
                <w:color w:val="000000"/>
                <w:sz w:val="18"/>
                <w:szCs w:val="18"/>
              </w:rPr>
            </w:pPr>
            <w:r>
              <w:rPr>
                <w:rFonts w:hint="eastAsia" w:eastAsia="仿宋" w:cs="仿宋"/>
                <w:sz w:val="18"/>
                <w:szCs w:val="18"/>
              </w:rPr>
              <w:t>夏明震烈士纪念碑周围环境整治验收合格率</w:t>
            </w:r>
          </w:p>
        </w:tc>
        <w:tc>
          <w:tcPr>
            <w:tcW w:w="1146" w:type="dxa"/>
            <w:gridSpan w:val="2"/>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95%</w:t>
            </w:r>
          </w:p>
        </w:tc>
        <w:tc>
          <w:tcPr>
            <w:tcW w:w="1202"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95%</w:t>
            </w:r>
          </w:p>
        </w:tc>
        <w:tc>
          <w:tcPr>
            <w:tcW w:w="718" w:type="dxa"/>
            <w:noWrap w:val="0"/>
            <w:vAlign w:val="center"/>
          </w:tcPr>
          <w:p>
            <w:pPr>
              <w:jc w:val="center"/>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１</w:t>
            </w:r>
          </w:p>
        </w:tc>
        <w:tc>
          <w:tcPr>
            <w:tcW w:w="884" w:type="dxa"/>
            <w:noWrap w:val="0"/>
            <w:vAlign w:val="center"/>
          </w:tcPr>
          <w:p>
            <w:pPr>
              <w:jc w:val="center"/>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１</w:t>
            </w:r>
          </w:p>
        </w:tc>
        <w:tc>
          <w:tcPr>
            <w:tcW w:w="1443" w:type="dxa"/>
            <w:noWrap w:val="0"/>
            <w:vAlign w:val="center"/>
          </w:tcPr>
          <w:p>
            <w:pPr>
              <w:jc w:val="left"/>
              <w:rPr>
                <w:rFonts w:ascii="Times New Roman" w:hAnsi="Times New Roman"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jc w:val="left"/>
              <w:rPr>
                <w:rFonts w:hint="eastAsia" w:ascii="Times New Roman" w:hAnsi="Times New Roman" w:eastAsia="仿宋_GB2312"/>
                <w:color w:val="000000"/>
                <w:sz w:val="18"/>
                <w:szCs w:val="18"/>
                <w:highlight w:val="none"/>
              </w:rPr>
            </w:pPr>
            <w:r>
              <w:rPr>
                <w:rFonts w:hint="eastAsia" w:ascii="Times New Roman" w:hAnsi="Times New Roman" w:eastAsia="仿宋_GB2312"/>
                <w:color w:val="000000"/>
                <w:sz w:val="18"/>
                <w:szCs w:val="18"/>
                <w:highlight w:val="none"/>
              </w:rPr>
              <w:t>陈家大屋修缮工程验收合格率</w:t>
            </w:r>
          </w:p>
        </w:tc>
        <w:tc>
          <w:tcPr>
            <w:tcW w:w="1146" w:type="dxa"/>
            <w:gridSpan w:val="2"/>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95%</w:t>
            </w:r>
            <w:r>
              <w:rPr>
                <w:rFonts w:ascii="Times New Roman" w:hAnsi="Times New Roman" w:eastAsia="仿宋_GB2312"/>
                <w:color w:val="000000"/>
                <w:sz w:val="18"/>
                <w:szCs w:val="18"/>
              </w:rPr>
              <w:t>　</w:t>
            </w:r>
          </w:p>
        </w:tc>
        <w:tc>
          <w:tcPr>
            <w:tcW w:w="1202"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95%</w:t>
            </w:r>
          </w:p>
        </w:tc>
        <w:tc>
          <w:tcPr>
            <w:tcW w:w="718"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１</w:t>
            </w:r>
          </w:p>
        </w:tc>
        <w:tc>
          <w:tcPr>
            <w:tcW w:w="884"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１</w:t>
            </w:r>
            <w:r>
              <w:rPr>
                <w:rFonts w:ascii="Times New Roman" w:hAnsi="Times New Roman" w:eastAsia="仿宋_GB2312"/>
                <w:color w:val="000000"/>
                <w:sz w:val="18"/>
                <w:szCs w:val="18"/>
              </w:rPr>
              <w:t>　</w:t>
            </w:r>
          </w:p>
        </w:tc>
        <w:tc>
          <w:tcPr>
            <w:tcW w:w="1443"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jc w:val="left"/>
              <w:rPr>
                <w:rFonts w:hint="eastAsia" w:ascii="Times New Roman" w:hAnsi="Times New Roman" w:eastAsia="仿宋_GB2312"/>
                <w:color w:val="000000"/>
                <w:sz w:val="18"/>
                <w:szCs w:val="18"/>
                <w:highlight w:val="none"/>
              </w:rPr>
            </w:pPr>
            <w:r>
              <w:rPr>
                <w:rFonts w:hint="eastAsia" w:ascii="Times New Roman" w:hAnsi="Times New Roman" w:eastAsia="仿宋_GB2312"/>
                <w:color w:val="000000"/>
                <w:sz w:val="18"/>
                <w:szCs w:val="18"/>
                <w:highlight w:val="none"/>
              </w:rPr>
              <w:t>陈家大屋消安防工程验收合格率</w:t>
            </w:r>
          </w:p>
        </w:tc>
        <w:tc>
          <w:tcPr>
            <w:tcW w:w="1146" w:type="dxa"/>
            <w:gridSpan w:val="2"/>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95%</w:t>
            </w:r>
            <w:r>
              <w:rPr>
                <w:rFonts w:ascii="Times New Roman" w:hAnsi="Times New Roman" w:eastAsia="仿宋_GB2312"/>
                <w:color w:val="000000"/>
                <w:sz w:val="18"/>
                <w:szCs w:val="18"/>
              </w:rPr>
              <w:t>　</w:t>
            </w:r>
          </w:p>
        </w:tc>
        <w:tc>
          <w:tcPr>
            <w:tcW w:w="1202"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95%</w:t>
            </w:r>
          </w:p>
        </w:tc>
        <w:tc>
          <w:tcPr>
            <w:tcW w:w="718" w:type="dxa"/>
            <w:noWrap w:val="0"/>
            <w:vAlign w:val="center"/>
          </w:tcPr>
          <w:p>
            <w:pPr>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１</w:t>
            </w:r>
          </w:p>
        </w:tc>
        <w:tc>
          <w:tcPr>
            <w:tcW w:w="884" w:type="dxa"/>
            <w:noWrap w:val="0"/>
            <w:vAlign w:val="center"/>
          </w:tcPr>
          <w:p>
            <w:pPr>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１</w:t>
            </w:r>
          </w:p>
        </w:tc>
        <w:tc>
          <w:tcPr>
            <w:tcW w:w="1443" w:type="dxa"/>
            <w:noWrap w:val="0"/>
            <w:vAlign w:val="center"/>
          </w:tcPr>
          <w:p>
            <w:pPr>
              <w:jc w:val="left"/>
              <w:rPr>
                <w:rFonts w:ascii="Times New Roman" w:hAnsi="Times New Roman"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jc w:val="left"/>
              <w:rPr>
                <w:rFonts w:hint="eastAsia" w:ascii="Times New Roman" w:hAnsi="Times New Roman" w:eastAsia="仿宋_GB2312"/>
                <w:color w:val="000000"/>
                <w:sz w:val="18"/>
                <w:szCs w:val="18"/>
                <w:highlight w:val="none"/>
              </w:rPr>
            </w:pPr>
            <w:r>
              <w:rPr>
                <w:rFonts w:hint="eastAsia" w:ascii="Times New Roman" w:hAnsi="Times New Roman" w:eastAsia="仿宋_GB2312"/>
                <w:color w:val="000000"/>
                <w:sz w:val="18"/>
                <w:szCs w:val="18"/>
                <w:highlight w:val="none"/>
              </w:rPr>
              <w:t>安保人员值守到位率</w:t>
            </w:r>
          </w:p>
        </w:tc>
        <w:tc>
          <w:tcPr>
            <w:tcW w:w="1146" w:type="dxa"/>
            <w:gridSpan w:val="2"/>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98%</w:t>
            </w:r>
            <w:r>
              <w:rPr>
                <w:rFonts w:ascii="Times New Roman" w:hAnsi="Times New Roman" w:eastAsia="仿宋_GB2312"/>
                <w:color w:val="000000"/>
                <w:sz w:val="18"/>
                <w:szCs w:val="18"/>
              </w:rPr>
              <w:t>　</w:t>
            </w:r>
          </w:p>
        </w:tc>
        <w:tc>
          <w:tcPr>
            <w:tcW w:w="1202"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98%</w:t>
            </w:r>
          </w:p>
        </w:tc>
        <w:tc>
          <w:tcPr>
            <w:tcW w:w="718" w:type="dxa"/>
            <w:noWrap w:val="0"/>
            <w:vAlign w:val="center"/>
          </w:tcPr>
          <w:p>
            <w:pPr>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１</w:t>
            </w:r>
          </w:p>
        </w:tc>
        <w:tc>
          <w:tcPr>
            <w:tcW w:w="884" w:type="dxa"/>
            <w:noWrap w:val="0"/>
            <w:vAlign w:val="center"/>
          </w:tcPr>
          <w:p>
            <w:pPr>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１</w:t>
            </w:r>
          </w:p>
        </w:tc>
        <w:tc>
          <w:tcPr>
            <w:tcW w:w="1443" w:type="dxa"/>
            <w:noWrap w:val="0"/>
            <w:vAlign w:val="center"/>
          </w:tcPr>
          <w:p>
            <w:pPr>
              <w:jc w:val="left"/>
              <w:rPr>
                <w:rFonts w:ascii="Times New Roman" w:hAnsi="Times New Roman"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widowControl/>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纪念馆布展工程验收合格率</w:t>
            </w:r>
          </w:p>
        </w:tc>
        <w:tc>
          <w:tcPr>
            <w:tcW w:w="1146" w:type="dxa"/>
            <w:gridSpan w:val="2"/>
            <w:noWrap w:val="0"/>
            <w:vAlign w:val="center"/>
          </w:tcPr>
          <w:p>
            <w:pPr>
              <w:widowControl/>
              <w:jc w:val="left"/>
              <w:rPr>
                <w:rFonts w:ascii="Times New Roman" w:hAnsi="Times New Roman" w:eastAsia="仿宋_GB2312"/>
                <w:color w:val="000000"/>
                <w:sz w:val="20"/>
                <w:szCs w:val="20"/>
              </w:rPr>
            </w:pPr>
            <w:r>
              <w:rPr>
                <w:rFonts w:hint="eastAsia" w:ascii="Times New Roman" w:hAnsi="Times New Roman" w:eastAsia="仿宋_GB2312"/>
                <w:color w:val="000000"/>
                <w:sz w:val="20"/>
                <w:szCs w:val="20"/>
              </w:rPr>
              <w:t>95%</w:t>
            </w:r>
          </w:p>
        </w:tc>
        <w:tc>
          <w:tcPr>
            <w:tcW w:w="1202" w:type="dxa"/>
            <w:noWrap w:val="0"/>
            <w:vAlign w:val="center"/>
          </w:tcPr>
          <w:p>
            <w:pPr>
              <w:widowControl/>
              <w:jc w:val="left"/>
              <w:rPr>
                <w:rFonts w:ascii="Times New Roman" w:hAnsi="Times New Roman" w:eastAsia="仿宋_GB2312"/>
                <w:color w:val="000000"/>
                <w:sz w:val="20"/>
                <w:szCs w:val="20"/>
              </w:rPr>
            </w:pPr>
            <w:r>
              <w:rPr>
                <w:rFonts w:hint="eastAsia" w:ascii="Times New Roman" w:hAnsi="Times New Roman" w:eastAsia="仿宋_GB2312"/>
                <w:color w:val="000000"/>
                <w:sz w:val="20"/>
                <w:szCs w:val="20"/>
              </w:rPr>
              <w:t>95%</w:t>
            </w:r>
          </w:p>
        </w:tc>
        <w:tc>
          <w:tcPr>
            <w:tcW w:w="718" w:type="dxa"/>
            <w:noWrap w:val="0"/>
            <w:vAlign w:val="center"/>
          </w:tcPr>
          <w:p>
            <w:pPr>
              <w:widowControl/>
              <w:jc w:val="left"/>
              <w:rPr>
                <w:rFonts w:hint="eastAsia"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１</w:t>
            </w:r>
          </w:p>
        </w:tc>
        <w:tc>
          <w:tcPr>
            <w:tcW w:w="884" w:type="dxa"/>
            <w:noWrap w:val="0"/>
            <w:vAlign w:val="center"/>
          </w:tcPr>
          <w:p>
            <w:pPr>
              <w:widowControl/>
              <w:jc w:val="left"/>
              <w:rPr>
                <w:rFonts w:hint="eastAsia"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１</w:t>
            </w:r>
          </w:p>
        </w:tc>
        <w:tc>
          <w:tcPr>
            <w:tcW w:w="1443" w:type="dxa"/>
            <w:noWrap w:val="0"/>
            <w:vAlign w:val="center"/>
          </w:tcPr>
          <w:p>
            <w:pPr>
              <w:widowControl/>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widowControl/>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消防工程验收合格率</w:t>
            </w:r>
          </w:p>
        </w:tc>
        <w:tc>
          <w:tcPr>
            <w:tcW w:w="1146" w:type="dxa"/>
            <w:gridSpan w:val="2"/>
            <w:noWrap w:val="0"/>
            <w:vAlign w:val="center"/>
          </w:tcPr>
          <w:p>
            <w:pPr>
              <w:widowControl/>
              <w:jc w:val="left"/>
              <w:rPr>
                <w:rFonts w:ascii="Times New Roman" w:hAnsi="Times New Roman" w:eastAsia="仿宋_GB2312"/>
                <w:color w:val="000000"/>
                <w:sz w:val="20"/>
                <w:szCs w:val="20"/>
              </w:rPr>
            </w:pPr>
            <w:r>
              <w:rPr>
                <w:rFonts w:hint="eastAsia" w:ascii="Times New Roman" w:hAnsi="Times New Roman" w:eastAsia="仿宋_GB2312"/>
                <w:color w:val="000000"/>
                <w:sz w:val="20"/>
                <w:szCs w:val="20"/>
              </w:rPr>
              <w:t>95%</w:t>
            </w:r>
            <w:r>
              <w:rPr>
                <w:rFonts w:ascii="Times New Roman" w:hAnsi="Times New Roman" w:eastAsia="仿宋_GB2312"/>
                <w:color w:val="000000"/>
                <w:sz w:val="20"/>
                <w:szCs w:val="20"/>
              </w:rPr>
              <w:t>　</w:t>
            </w:r>
          </w:p>
        </w:tc>
        <w:tc>
          <w:tcPr>
            <w:tcW w:w="1202" w:type="dxa"/>
            <w:noWrap w:val="0"/>
            <w:vAlign w:val="center"/>
          </w:tcPr>
          <w:p>
            <w:pPr>
              <w:widowControl/>
              <w:jc w:val="left"/>
              <w:rPr>
                <w:rFonts w:ascii="Times New Roman" w:hAnsi="Times New Roman" w:eastAsia="仿宋_GB2312"/>
                <w:color w:val="000000"/>
                <w:sz w:val="20"/>
                <w:szCs w:val="20"/>
              </w:rPr>
            </w:pPr>
            <w:r>
              <w:rPr>
                <w:rFonts w:hint="eastAsia" w:ascii="Times New Roman" w:hAnsi="Times New Roman" w:eastAsia="仿宋_GB2312"/>
                <w:color w:val="000000"/>
                <w:sz w:val="20"/>
                <w:szCs w:val="20"/>
              </w:rPr>
              <w:t>95%</w:t>
            </w:r>
            <w:r>
              <w:rPr>
                <w:rFonts w:ascii="Times New Roman" w:hAnsi="Times New Roman" w:eastAsia="仿宋_GB2312"/>
                <w:color w:val="000000"/>
                <w:sz w:val="20"/>
                <w:szCs w:val="20"/>
              </w:rPr>
              <w:t>　</w:t>
            </w:r>
          </w:p>
        </w:tc>
        <w:tc>
          <w:tcPr>
            <w:tcW w:w="718" w:type="dxa"/>
            <w:noWrap w:val="0"/>
            <w:vAlign w:val="center"/>
          </w:tcPr>
          <w:p>
            <w:pPr>
              <w:widowControl/>
              <w:jc w:val="left"/>
              <w:rPr>
                <w:rFonts w:hint="eastAsia"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１</w:t>
            </w:r>
          </w:p>
        </w:tc>
        <w:tc>
          <w:tcPr>
            <w:tcW w:w="884" w:type="dxa"/>
            <w:noWrap w:val="0"/>
            <w:vAlign w:val="center"/>
          </w:tcPr>
          <w:p>
            <w:pPr>
              <w:widowControl/>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１</w:t>
            </w:r>
          </w:p>
        </w:tc>
        <w:tc>
          <w:tcPr>
            <w:tcW w:w="1443" w:type="dxa"/>
            <w:noWrap w:val="0"/>
            <w:vAlign w:val="center"/>
          </w:tcPr>
          <w:p>
            <w:pPr>
              <w:widowControl/>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35"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restart"/>
            <w:noWrap w:val="0"/>
            <w:vAlign w:val="center"/>
          </w:tcPr>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时效指标</w:t>
            </w:r>
          </w:p>
        </w:tc>
        <w:tc>
          <w:tcPr>
            <w:tcW w:w="1078" w:type="dxa"/>
            <w:noWrap w:val="0"/>
            <w:vAlign w:val="center"/>
          </w:tcPr>
          <w:p>
            <w:pPr>
              <w:jc w:val="left"/>
              <w:rPr>
                <w:rFonts w:eastAsia="仿宋" w:cs="仿宋"/>
                <w:sz w:val="20"/>
                <w:szCs w:val="20"/>
              </w:rPr>
            </w:pPr>
            <w:r>
              <w:rPr>
                <w:rFonts w:hint="eastAsia" w:eastAsia="仿宋" w:cs="仿宋"/>
                <w:sz w:val="20"/>
                <w:szCs w:val="20"/>
              </w:rPr>
              <w:t>资金使用及时率</w:t>
            </w:r>
          </w:p>
        </w:tc>
        <w:tc>
          <w:tcPr>
            <w:tcW w:w="1146" w:type="dxa"/>
            <w:gridSpan w:val="2"/>
            <w:noWrap w:val="0"/>
            <w:vAlign w:val="center"/>
          </w:tcPr>
          <w:p>
            <w:pPr>
              <w:jc w:val="left"/>
              <w:rPr>
                <w:rFonts w:eastAsia="仿宋" w:cs="仿宋"/>
                <w:sz w:val="20"/>
                <w:szCs w:val="20"/>
              </w:rPr>
            </w:pPr>
            <w:r>
              <w:rPr>
                <w:rFonts w:eastAsia="仿宋" w:cs="仿宋"/>
                <w:sz w:val="20"/>
                <w:szCs w:val="20"/>
              </w:rPr>
              <w:t>　</w:t>
            </w:r>
            <w:r>
              <w:rPr>
                <w:rFonts w:hint="eastAsia" w:eastAsia="仿宋" w:cs="仿宋"/>
                <w:sz w:val="20"/>
                <w:szCs w:val="20"/>
              </w:rPr>
              <w:t>95%</w:t>
            </w:r>
          </w:p>
        </w:tc>
        <w:tc>
          <w:tcPr>
            <w:tcW w:w="1202" w:type="dxa"/>
            <w:noWrap w:val="0"/>
            <w:vAlign w:val="center"/>
          </w:tcPr>
          <w:p>
            <w:pPr>
              <w:jc w:val="left"/>
              <w:rPr>
                <w:rFonts w:eastAsia="仿宋" w:cs="仿宋"/>
                <w:sz w:val="20"/>
                <w:szCs w:val="20"/>
              </w:rPr>
            </w:pPr>
            <w:r>
              <w:rPr>
                <w:rFonts w:eastAsia="仿宋" w:cs="仿宋"/>
                <w:sz w:val="20"/>
                <w:szCs w:val="20"/>
              </w:rPr>
              <w:t>　</w:t>
            </w:r>
            <w:r>
              <w:rPr>
                <w:rFonts w:hint="eastAsia" w:eastAsia="仿宋" w:cs="仿宋"/>
                <w:sz w:val="20"/>
                <w:szCs w:val="20"/>
              </w:rPr>
              <w:t>95%</w:t>
            </w:r>
          </w:p>
        </w:tc>
        <w:tc>
          <w:tcPr>
            <w:tcW w:w="718" w:type="dxa"/>
            <w:noWrap w:val="0"/>
            <w:vAlign w:val="center"/>
          </w:tcPr>
          <w:p>
            <w:pPr>
              <w:jc w:val="left"/>
              <w:rPr>
                <w:rFonts w:eastAsia="仿宋" w:cs="仿宋"/>
                <w:sz w:val="20"/>
                <w:szCs w:val="20"/>
              </w:rPr>
            </w:pPr>
            <w:r>
              <w:rPr>
                <w:rFonts w:eastAsia="仿宋" w:cs="仿宋"/>
                <w:sz w:val="20"/>
                <w:szCs w:val="20"/>
              </w:rPr>
              <w:t>　</w:t>
            </w:r>
            <w:r>
              <w:rPr>
                <w:rFonts w:hint="eastAsia" w:eastAsia="仿宋" w:cs="仿宋"/>
                <w:sz w:val="20"/>
                <w:szCs w:val="20"/>
              </w:rPr>
              <w:t>０．５</w:t>
            </w:r>
          </w:p>
        </w:tc>
        <w:tc>
          <w:tcPr>
            <w:tcW w:w="884" w:type="dxa"/>
            <w:noWrap w:val="0"/>
            <w:vAlign w:val="center"/>
          </w:tcPr>
          <w:p>
            <w:pPr>
              <w:jc w:val="left"/>
              <w:rPr>
                <w:rFonts w:eastAsia="仿宋" w:cs="仿宋"/>
                <w:sz w:val="20"/>
                <w:szCs w:val="20"/>
              </w:rPr>
            </w:pPr>
            <w:r>
              <w:rPr>
                <w:rFonts w:eastAsia="仿宋" w:cs="仿宋"/>
                <w:sz w:val="20"/>
                <w:szCs w:val="20"/>
              </w:rPr>
              <w:t>　</w:t>
            </w:r>
            <w:r>
              <w:rPr>
                <w:rFonts w:hint="eastAsia" w:eastAsia="仿宋" w:cs="仿宋"/>
                <w:sz w:val="20"/>
                <w:szCs w:val="20"/>
              </w:rPr>
              <w:t>０．５</w:t>
            </w:r>
          </w:p>
        </w:tc>
        <w:tc>
          <w:tcPr>
            <w:tcW w:w="1443" w:type="dxa"/>
            <w:noWrap w:val="0"/>
            <w:vAlign w:val="center"/>
          </w:tcPr>
          <w:p>
            <w:pPr>
              <w:jc w:val="left"/>
              <w:rPr>
                <w:rFonts w:hint="eastAsia"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35"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jc w:val="left"/>
              <w:rPr>
                <w:rFonts w:eastAsia="仿宋" w:cs="仿宋"/>
                <w:sz w:val="20"/>
                <w:szCs w:val="20"/>
              </w:rPr>
            </w:pPr>
            <w:r>
              <w:rPr>
                <w:rFonts w:hint="eastAsia" w:eastAsia="仿宋" w:cs="仿宋"/>
                <w:sz w:val="20"/>
                <w:szCs w:val="20"/>
              </w:rPr>
              <w:t>重要活动举办及时率</w:t>
            </w:r>
          </w:p>
        </w:tc>
        <w:tc>
          <w:tcPr>
            <w:tcW w:w="1146" w:type="dxa"/>
            <w:gridSpan w:val="2"/>
            <w:noWrap w:val="0"/>
            <w:vAlign w:val="center"/>
          </w:tcPr>
          <w:p>
            <w:pPr>
              <w:jc w:val="left"/>
              <w:rPr>
                <w:rFonts w:eastAsia="仿宋" w:cs="仿宋"/>
                <w:sz w:val="20"/>
                <w:szCs w:val="20"/>
              </w:rPr>
            </w:pPr>
            <w:r>
              <w:rPr>
                <w:rFonts w:hint="eastAsia" w:eastAsia="仿宋" w:cs="仿宋"/>
                <w:sz w:val="20"/>
                <w:szCs w:val="20"/>
              </w:rPr>
              <w:t>90%</w:t>
            </w:r>
          </w:p>
        </w:tc>
        <w:tc>
          <w:tcPr>
            <w:tcW w:w="1202" w:type="dxa"/>
            <w:noWrap w:val="0"/>
            <w:vAlign w:val="center"/>
          </w:tcPr>
          <w:p>
            <w:pPr>
              <w:jc w:val="left"/>
              <w:rPr>
                <w:rFonts w:eastAsia="仿宋" w:cs="仿宋"/>
                <w:sz w:val="20"/>
                <w:szCs w:val="20"/>
              </w:rPr>
            </w:pPr>
            <w:r>
              <w:rPr>
                <w:rFonts w:hint="eastAsia" w:eastAsia="仿宋" w:cs="仿宋"/>
                <w:sz w:val="20"/>
                <w:szCs w:val="20"/>
              </w:rPr>
              <w:t>90%</w:t>
            </w:r>
          </w:p>
        </w:tc>
        <w:tc>
          <w:tcPr>
            <w:tcW w:w="718" w:type="dxa"/>
            <w:noWrap w:val="0"/>
            <w:vAlign w:val="center"/>
          </w:tcPr>
          <w:p>
            <w:pPr>
              <w:jc w:val="left"/>
              <w:rPr>
                <w:rFonts w:eastAsia="仿宋" w:cs="仿宋"/>
                <w:sz w:val="20"/>
                <w:szCs w:val="20"/>
              </w:rPr>
            </w:pPr>
            <w:r>
              <w:rPr>
                <w:rFonts w:hint="eastAsia" w:eastAsia="仿宋" w:cs="仿宋"/>
                <w:sz w:val="20"/>
                <w:szCs w:val="20"/>
              </w:rPr>
              <w:t xml:space="preserve">  ０．５</w:t>
            </w:r>
          </w:p>
        </w:tc>
        <w:tc>
          <w:tcPr>
            <w:tcW w:w="884" w:type="dxa"/>
            <w:noWrap w:val="0"/>
            <w:vAlign w:val="center"/>
          </w:tcPr>
          <w:p>
            <w:pPr>
              <w:jc w:val="left"/>
              <w:rPr>
                <w:rFonts w:eastAsia="仿宋" w:cs="仿宋"/>
                <w:sz w:val="20"/>
                <w:szCs w:val="20"/>
              </w:rPr>
            </w:pPr>
            <w:r>
              <w:rPr>
                <w:rFonts w:hint="eastAsia" w:eastAsia="仿宋" w:cs="仿宋"/>
                <w:sz w:val="20"/>
                <w:szCs w:val="20"/>
              </w:rPr>
              <w:t xml:space="preserve"> ０．５</w:t>
            </w:r>
          </w:p>
        </w:tc>
        <w:tc>
          <w:tcPr>
            <w:tcW w:w="1443" w:type="dxa"/>
            <w:noWrap w:val="0"/>
            <w:vAlign w:val="center"/>
          </w:tcPr>
          <w:p>
            <w:pPr>
              <w:jc w:val="left"/>
              <w:rPr>
                <w:rFonts w:ascii="Times New Roman" w:hAnsi="Times New Roman" w:eastAsia="仿宋_GB2312"/>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35"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jc w:val="left"/>
              <w:rPr>
                <w:rFonts w:hint="eastAsia" w:eastAsia="仿宋" w:cs="仿宋"/>
                <w:sz w:val="20"/>
                <w:szCs w:val="20"/>
              </w:rPr>
            </w:pPr>
            <w:r>
              <w:rPr>
                <w:rFonts w:hint="eastAsia" w:eastAsia="仿宋" w:cs="仿宋"/>
                <w:sz w:val="20"/>
                <w:szCs w:val="20"/>
              </w:rPr>
              <w:t>场馆及园区各项工作完工及时率</w:t>
            </w:r>
          </w:p>
        </w:tc>
        <w:tc>
          <w:tcPr>
            <w:tcW w:w="1146" w:type="dxa"/>
            <w:gridSpan w:val="2"/>
            <w:noWrap w:val="0"/>
            <w:vAlign w:val="center"/>
          </w:tcPr>
          <w:p>
            <w:pPr>
              <w:jc w:val="left"/>
              <w:rPr>
                <w:rFonts w:eastAsia="仿宋" w:cs="仿宋"/>
                <w:sz w:val="20"/>
                <w:szCs w:val="20"/>
              </w:rPr>
            </w:pPr>
            <w:r>
              <w:rPr>
                <w:rFonts w:hint="eastAsia" w:eastAsia="仿宋" w:cs="仿宋"/>
                <w:sz w:val="20"/>
                <w:szCs w:val="20"/>
              </w:rPr>
              <w:t>95%</w:t>
            </w:r>
          </w:p>
        </w:tc>
        <w:tc>
          <w:tcPr>
            <w:tcW w:w="1202" w:type="dxa"/>
            <w:noWrap w:val="0"/>
            <w:vAlign w:val="center"/>
          </w:tcPr>
          <w:p>
            <w:pPr>
              <w:jc w:val="left"/>
              <w:rPr>
                <w:rFonts w:eastAsia="仿宋" w:cs="仿宋"/>
                <w:sz w:val="20"/>
                <w:szCs w:val="20"/>
              </w:rPr>
            </w:pPr>
            <w:r>
              <w:rPr>
                <w:rFonts w:hint="eastAsia" w:eastAsia="仿宋" w:cs="仿宋"/>
                <w:sz w:val="20"/>
                <w:szCs w:val="20"/>
              </w:rPr>
              <w:t>95%</w:t>
            </w:r>
          </w:p>
        </w:tc>
        <w:tc>
          <w:tcPr>
            <w:tcW w:w="718" w:type="dxa"/>
            <w:noWrap w:val="0"/>
            <w:vAlign w:val="center"/>
          </w:tcPr>
          <w:p>
            <w:pPr>
              <w:jc w:val="left"/>
              <w:rPr>
                <w:rFonts w:eastAsia="仿宋" w:cs="仿宋"/>
                <w:sz w:val="20"/>
                <w:szCs w:val="20"/>
              </w:rPr>
            </w:pPr>
            <w:r>
              <w:rPr>
                <w:rFonts w:hint="eastAsia" w:eastAsia="仿宋" w:cs="仿宋"/>
                <w:sz w:val="20"/>
                <w:szCs w:val="20"/>
              </w:rPr>
              <w:t xml:space="preserve">  ０．５</w:t>
            </w:r>
          </w:p>
        </w:tc>
        <w:tc>
          <w:tcPr>
            <w:tcW w:w="884" w:type="dxa"/>
            <w:noWrap w:val="0"/>
            <w:vAlign w:val="center"/>
          </w:tcPr>
          <w:p>
            <w:pPr>
              <w:jc w:val="left"/>
              <w:rPr>
                <w:rFonts w:eastAsia="仿宋" w:cs="仿宋"/>
                <w:sz w:val="20"/>
                <w:szCs w:val="20"/>
              </w:rPr>
            </w:pPr>
            <w:r>
              <w:rPr>
                <w:rFonts w:hint="eastAsia" w:eastAsia="仿宋" w:cs="仿宋"/>
                <w:sz w:val="20"/>
                <w:szCs w:val="20"/>
              </w:rPr>
              <w:t xml:space="preserve">  ０．５</w:t>
            </w:r>
          </w:p>
        </w:tc>
        <w:tc>
          <w:tcPr>
            <w:tcW w:w="1443" w:type="dxa"/>
            <w:noWrap w:val="0"/>
            <w:vAlign w:val="center"/>
          </w:tcPr>
          <w:p>
            <w:pPr>
              <w:jc w:val="left"/>
              <w:rPr>
                <w:rFonts w:ascii="Times New Roman" w:hAnsi="Times New Roman" w:eastAsia="仿宋_GB2312"/>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35"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widowControl/>
              <w:jc w:val="left"/>
              <w:rPr>
                <w:rFonts w:hint="eastAsia" w:ascii="Times New Roman" w:hAnsi="Times New Roman"/>
                <w:color w:val="000000"/>
                <w:sz w:val="18"/>
                <w:szCs w:val="18"/>
              </w:rPr>
            </w:pPr>
            <w:r>
              <w:rPr>
                <w:rFonts w:hint="eastAsia" w:ascii="Times New Roman" w:hAnsi="Times New Roman" w:eastAsia="仿宋_GB2312"/>
                <w:color w:val="000000"/>
                <w:sz w:val="18"/>
                <w:szCs w:val="18"/>
              </w:rPr>
              <w:t>举办建党100周年大型陈展及演出活动及时率</w:t>
            </w:r>
          </w:p>
        </w:tc>
        <w:tc>
          <w:tcPr>
            <w:tcW w:w="1146" w:type="dxa"/>
            <w:gridSpan w:val="2"/>
            <w:noWrap w:val="0"/>
            <w:vAlign w:val="center"/>
          </w:tcPr>
          <w:p>
            <w:pPr>
              <w:widowControl/>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2021年12月前</w:t>
            </w:r>
          </w:p>
        </w:tc>
        <w:tc>
          <w:tcPr>
            <w:tcW w:w="1202" w:type="dxa"/>
            <w:noWrap w:val="0"/>
            <w:vAlign w:val="center"/>
          </w:tcPr>
          <w:p>
            <w:pPr>
              <w:widowControl/>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2021年12月前</w:t>
            </w:r>
            <w:r>
              <w:rPr>
                <w:rFonts w:ascii="Times New Roman" w:hAnsi="Times New Roman" w:eastAsia="仿宋_GB2312"/>
                <w:color w:val="000000"/>
                <w:sz w:val="18"/>
                <w:szCs w:val="18"/>
              </w:rPr>
              <w:t>　</w:t>
            </w:r>
          </w:p>
        </w:tc>
        <w:tc>
          <w:tcPr>
            <w:tcW w:w="718" w:type="dxa"/>
            <w:noWrap w:val="0"/>
            <w:vAlign w:val="center"/>
          </w:tcPr>
          <w:p>
            <w:pPr>
              <w:widowControl/>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０．５</w:t>
            </w:r>
          </w:p>
        </w:tc>
        <w:tc>
          <w:tcPr>
            <w:tcW w:w="884" w:type="dxa"/>
            <w:noWrap w:val="0"/>
            <w:vAlign w:val="center"/>
          </w:tcPr>
          <w:p>
            <w:pPr>
              <w:widowControl/>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０．５</w:t>
            </w:r>
          </w:p>
        </w:tc>
        <w:tc>
          <w:tcPr>
            <w:tcW w:w="1443" w:type="dxa"/>
            <w:noWrap w:val="0"/>
            <w:vAlign w:val="center"/>
          </w:tcPr>
          <w:p>
            <w:pPr>
              <w:jc w:val="left"/>
              <w:rPr>
                <w:rFonts w:ascii="Times New Roman" w:hAnsi="Times New Roman" w:eastAsia="仿宋_GB2312"/>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35"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widowControl/>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建党百年文物征集</w:t>
            </w:r>
          </w:p>
        </w:tc>
        <w:tc>
          <w:tcPr>
            <w:tcW w:w="1146" w:type="dxa"/>
            <w:gridSpan w:val="2"/>
            <w:noWrap w:val="0"/>
            <w:vAlign w:val="center"/>
          </w:tcPr>
          <w:p>
            <w:pPr>
              <w:widowControl/>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2021年12月前</w:t>
            </w:r>
          </w:p>
        </w:tc>
        <w:tc>
          <w:tcPr>
            <w:tcW w:w="1202" w:type="dxa"/>
            <w:noWrap w:val="0"/>
            <w:vAlign w:val="center"/>
          </w:tcPr>
          <w:p>
            <w:pPr>
              <w:widowControl/>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2021年12月前</w:t>
            </w:r>
          </w:p>
        </w:tc>
        <w:tc>
          <w:tcPr>
            <w:tcW w:w="718" w:type="dxa"/>
            <w:noWrap w:val="0"/>
            <w:vAlign w:val="center"/>
          </w:tcPr>
          <w:p>
            <w:pPr>
              <w:widowControl/>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０．５</w:t>
            </w:r>
          </w:p>
        </w:tc>
        <w:tc>
          <w:tcPr>
            <w:tcW w:w="884" w:type="dxa"/>
            <w:noWrap w:val="0"/>
            <w:vAlign w:val="center"/>
          </w:tcPr>
          <w:p>
            <w:pPr>
              <w:widowControl/>
              <w:jc w:val="left"/>
              <w:rPr>
                <w:rFonts w:hint="eastAsia" w:ascii="Times New Roman" w:hAnsi="Times New Roman" w:eastAsia="仿宋_GB2312"/>
                <w:color w:val="000000"/>
                <w:sz w:val="18"/>
                <w:szCs w:val="18"/>
              </w:rPr>
            </w:pPr>
          </w:p>
        </w:tc>
        <w:tc>
          <w:tcPr>
            <w:tcW w:w="1443" w:type="dxa"/>
            <w:noWrap w:val="0"/>
            <w:vAlign w:val="center"/>
          </w:tcPr>
          <w:p>
            <w:pPr>
              <w:jc w:val="left"/>
              <w:rPr>
                <w:rFonts w:ascii="Times New Roman" w:hAnsi="Times New Roman" w:eastAsia="仿宋_GB2312"/>
                <w:color w:val="000000"/>
                <w:sz w:val="20"/>
                <w:szCs w:val="20"/>
              </w:rPr>
            </w:pPr>
            <w:r>
              <w:rPr>
                <w:rFonts w:hint="eastAsia" w:ascii="Times New Roman" w:hAnsi="Times New Roman" w:eastAsia="仿宋_GB2312"/>
                <w:color w:val="000000"/>
                <w:sz w:val="18"/>
                <w:szCs w:val="18"/>
              </w:rPr>
              <w:t>因疫情影响导致征集工作滞后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35"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jc w:val="left"/>
              <w:rPr>
                <w:rFonts w:ascii="Times New Roman" w:hAnsi="Times New Roman" w:eastAsia="仿宋_GB2312"/>
                <w:color w:val="000000"/>
                <w:sz w:val="18"/>
                <w:szCs w:val="18"/>
              </w:rPr>
            </w:pPr>
            <w:r>
              <w:rPr>
                <w:rFonts w:hint="eastAsia" w:eastAsia="仿宋" w:cs="仿宋"/>
                <w:sz w:val="18"/>
                <w:szCs w:val="18"/>
              </w:rPr>
              <w:t>纪念广场设计工程完工及时率</w:t>
            </w:r>
          </w:p>
        </w:tc>
        <w:tc>
          <w:tcPr>
            <w:tcW w:w="1146" w:type="dxa"/>
            <w:gridSpan w:val="2"/>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90%</w:t>
            </w:r>
          </w:p>
        </w:tc>
        <w:tc>
          <w:tcPr>
            <w:tcW w:w="1202"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90%</w:t>
            </w:r>
          </w:p>
        </w:tc>
        <w:tc>
          <w:tcPr>
            <w:tcW w:w="718" w:type="dxa"/>
            <w:noWrap w:val="0"/>
            <w:vAlign w:val="center"/>
          </w:tcPr>
          <w:p>
            <w:pPr>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０．５</w:t>
            </w:r>
          </w:p>
        </w:tc>
        <w:tc>
          <w:tcPr>
            <w:tcW w:w="884" w:type="dxa"/>
            <w:noWrap w:val="0"/>
            <w:vAlign w:val="center"/>
          </w:tcPr>
          <w:p>
            <w:pPr>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０．５</w:t>
            </w:r>
          </w:p>
        </w:tc>
        <w:tc>
          <w:tcPr>
            <w:tcW w:w="1443"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35"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jc w:val="left"/>
              <w:rPr>
                <w:rFonts w:ascii="Times New Roman" w:hAnsi="Times New Roman" w:eastAsia="仿宋_GB2312"/>
                <w:color w:val="000000"/>
                <w:sz w:val="18"/>
                <w:szCs w:val="18"/>
              </w:rPr>
            </w:pPr>
            <w:r>
              <w:rPr>
                <w:rFonts w:hint="eastAsia" w:eastAsia="仿宋" w:cs="仿宋"/>
                <w:sz w:val="18"/>
                <w:szCs w:val="18"/>
              </w:rPr>
              <w:t>道路导向牌制作安装完工及时率</w:t>
            </w:r>
          </w:p>
        </w:tc>
        <w:tc>
          <w:tcPr>
            <w:tcW w:w="1146" w:type="dxa"/>
            <w:gridSpan w:val="2"/>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90%</w:t>
            </w:r>
          </w:p>
        </w:tc>
        <w:tc>
          <w:tcPr>
            <w:tcW w:w="1202"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90%</w:t>
            </w:r>
          </w:p>
        </w:tc>
        <w:tc>
          <w:tcPr>
            <w:tcW w:w="718" w:type="dxa"/>
            <w:noWrap w:val="0"/>
            <w:vAlign w:val="center"/>
          </w:tcPr>
          <w:p>
            <w:pPr>
              <w:jc w:val="center"/>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０．５</w:t>
            </w:r>
          </w:p>
        </w:tc>
        <w:tc>
          <w:tcPr>
            <w:tcW w:w="884" w:type="dxa"/>
            <w:noWrap w:val="0"/>
            <w:vAlign w:val="center"/>
          </w:tcPr>
          <w:p>
            <w:pPr>
              <w:jc w:val="center"/>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０．５</w:t>
            </w:r>
          </w:p>
        </w:tc>
        <w:tc>
          <w:tcPr>
            <w:tcW w:w="1443" w:type="dxa"/>
            <w:noWrap w:val="0"/>
            <w:vAlign w:val="center"/>
          </w:tcPr>
          <w:p>
            <w:pPr>
              <w:jc w:val="left"/>
              <w:rPr>
                <w:rFonts w:ascii="Times New Roman" w:hAnsi="Times New Roman"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35"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jc w:val="left"/>
              <w:rPr>
                <w:rFonts w:ascii="Times New Roman" w:hAnsi="Times New Roman" w:eastAsia="仿宋_GB2312"/>
                <w:color w:val="000000"/>
                <w:sz w:val="18"/>
                <w:szCs w:val="18"/>
              </w:rPr>
            </w:pPr>
            <w:r>
              <w:rPr>
                <w:rFonts w:hint="eastAsia" w:eastAsia="仿宋" w:cs="仿宋"/>
                <w:sz w:val="18"/>
                <w:szCs w:val="18"/>
              </w:rPr>
              <w:t>游客服务中心升级改造完工及时率</w:t>
            </w:r>
          </w:p>
        </w:tc>
        <w:tc>
          <w:tcPr>
            <w:tcW w:w="1146" w:type="dxa"/>
            <w:gridSpan w:val="2"/>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90%</w:t>
            </w:r>
          </w:p>
        </w:tc>
        <w:tc>
          <w:tcPr>
            <w:tcW w:w="1202"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90%</w:t>
            </w:r>
          </w:p>
        </w:tc>
        <w:tc>
          <w:tcPr>
            <w:tcW w:w="718" w:type="dxa"/>
            <w:noWrap w:val="0"/>
            <w:vAlign w:val="center"/>
          </w:tcPr>
          <w:p>
            <w:pPr>
              <w:jc w:val="center"/>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０．５</w:t>
            </w:r>
          </w:p>
        </w:tc>
        <w:tc>
          <w:tcPr>
            <w:tcW w:w="884" w:type="dxa"/>
            <w:noWrap w:val="0"/>
            <w:vAlign w:val="center"/>
          </w:tcPr>
          <w:p>
            <w:pPr>
              <w:jc w:val="left"/>
              <w:rPr>
                <w:rFonts w:hint="default" w:eastAsia="仿宋" w:cs="仿宋"/>
                <w:sz w:val="18"/>
                <w:szCs w:val="18"/>
                <w:lang w:val="en-US" w:eastAsia="zh-CN"/>
              </w:rPr>
            </w:pPr>
            <w:r>
              <w:rPr>
                <w:rFonts w:hint="eastAsia" w:eastAsia="仿宋" w:cs="仿宋"/>
                <w:sz w:val="18"/>
                <w:szCs w:val="18"/>
                <w:lang w:val="en-US" w:eastAsia="zh-CN"/>
              </w:rPr>
              <w:t>0.5</w:t>
            </w:r>
          </w:p>
        </w:tc>
        <w:tc>
          <w:tcPr>
            <w:tcW w:w="1443" w:type="dxa"/>
            <w:noWrap w:val="0"/>
            <w:vAlign w:val="center"/>
          </w:tcPr>
          <w:p>
            <w:pPr>
              <w:jc w:val="left"/>
              <w:rPr>
                <w:rFonts w:eastAsia="仿宋" w:cs="仿宋"/>
                <w:sz w:val="18"/>
                <w:szCs w:val="18"/>
              </w:rPr>
            </w:pPr>
            <w:r>
              <w:rPr>
                <w:rFonts w:hint="eastAsia" w:eastAsia="仿宋" w:cs="仿宋"/>
                <w:sz w:val="18"/>
                <w:szCs w:val="18"/>
              </w:rPr>
              <w:t>疫情影响导致工期滞后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35"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jc w:val="left"/>
              <w:rPr>
                <w:rFonts w:eastAsia="仿宋" w:cs="仿宋"/>
                <w:sz w:val="18"/>
                <w:szCs w:val="18"/>
              </w:rPr>
            </w:pPr>
            <w:r>
              <w:rPr>
                <w:rFonts w:hint="eastAsia" w:eastAsia="仿宋" w:cs="仿宋"/>
                <w:sz w:val="18"/>
                <w:szCs w:val="18"/>
              </w:rPr>
              <w:t>夏明震烈士纪念碑周围环境整治完工及时率</w:t>
            </w:r>
          </w:p>
        </w:tc>
        <w:tc>
          <w:tcPr>
            <w:tcW w:w="1146" w:type="dxa"/>
            <w:gridSpan w:val="2"/>
            <w:noWrap w:val="0"/>
            <w:vAlign w:val="center"/>
          </w:tcPr>
          <w:p>
            <w:pPr>
              <w:jc w:val="left"/>
              <w:rPr>
                <w:rFonts w:eastAsia="仿宋" w:cs="仿宋"/>
                <w:sz w:val="18"/>
                <w:szCs w:val="18"/>
              </w:rPr>
            </w:pPr>
            <w:r>
              <w:rPr>
                <w:rFonts w:hint="eastAsia" w:eastAsia="仿宋" w:cs="仿宋"/>
                <w:sz w:val="18"/>
                <w:szCs w:val="18"/>
              </w:rPr>
              <w:t>90%</w:t>
            </w:r>
          </w:p>
        </w:tc>
        <w:tc>
          <w:tcPr>
            <w:tcW w:w="1202" w:type="dxa"/>
            <w:noWrap w:val="0"/>
            <w:vAlign w:val="center"/>
          </w:tcPr>
          <w:p>
            <w:pPr>
              <w:jc w:val="left"/>
              <w:rPr>
                <w:rFonts w:eastAsia="仿宋" w:cs="仿宋"/>
                <w:sz w:val="18"/>
                <w:szCs w:val="18"/>
              </w:rPr>
            </w:pPr>
            <w:r>
              <w:rPr>
                <w:rFonts w:hint="eastAsia" w:eastAsia="仿宋" w:cs="仿宋"/>
                <w:sz w:val="18"/>
                <w:szCs w:val="18"/>
              </w:rPr>
              <w:t>90%</w:t>
            </w:r>
          </w:p>
        </w:tc>
        <w:tc>
          <w:tcPr>
            <w:tcW w:w="718" w:type="dxa"/>
            <w:noWrap w:val="0"/>
            <w:vAlign w:val="center"/>
          </w:tcPr>
          <w:p>
            <w:pPr>
              <w:jc w:val="center"/>
              <w:rPr>
                <w:rFonts w:hint="eastAsia" w:eastAsia="仿宋" w:cs="仿宋"/>
                <w:sz w:val="18"/>
                <w:szCs w:val="18"/>
              </w:rPr>
            </w:pPr>
            <w:r>
              <w:rPr>
                <w:rFonts w:hint="eastAsia" w:eastAsia="仿宋" w:cs="仿宋"/>
                <w:sz w:val="18"/>
                <w:szCs w:val="18"/>
              </w:rPr>
              <w:t>０．５</w:t>
            </w:r>
          </w:p>
        </w:tc>
        <w:tc>
          <w:tcPr>
            <w:tcW w:w="884" w:type="dxa"/>
            <w:noWrap w:val="0"/>
            <w:vAlign w:val="center"/>
          </w:tcPr>
          <w:p>
            <w:pPr>
              <w:jc w:val="center"/>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０．５</w:t>
            </w:r>
          </w:p>
        </w:tc>
        <w:tc>
          <w:tcPr>
            <w:tcW w:w="1443" w:type="dxa"/>
            <w:noWrap w:val="0"/>
            <w:vAlign w:val="center"/>
          </w:tcPr>
          <w:p>
            <w:pPr>
              <w:jc w:val="left"/>
              <w:rPr>
                <w:rFonts w:ascii="Times New Roman" w:hAnsi="Times New Roman"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35"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jc w:val="left"/>
              <w:rPr>
                <w:rFonts w:hint="eastAsia" w:eastAsia="仿宋" w:cs="仿宋"/>
                <w:sz w:val="18"/>
                <w:szCs w:val="18"/>
              </w:rPr>
            </w:pPr>
            <w:r>
              <w:rPr>
                <w:rFonts w:hint="eastAsia" w:eastAsia="仿宋" w:cs="仿宋"/>
                <w:sz w:val="18"/>
                <w:szCs w:val="18"/>
              </w:rPr>
              <w:t>陈家大屋修缮工程完工及时率</w:t>
            </w:r>
          </w:p>
        </w:tc>
        <w:tc>
          <w:tcPr>
            <w:tcW w:w="1146" w:type="dxa"/>
            <w:gridSpan w:val="2"/>
            <w:noWrap w:val="0"/>
            <w:vAlign w:val="center"/>
          </w:tcPr>
          <w:p>
            <w:pPr>
              <w:jc w:val="left"/>
              <w:rPr>
                <w:rFonts w:eastAsia="仿宋" w:cs="仿宋"/>
                <w:sz w:val="18"/>
                <w:szCs w:val="18"/>
              </w:rPr>
            </w:pPr>
            <w:r>
              <w:rPr>
                <w:rFonts w:hint="eastAsia" w:eastAsia="仿宋" w:cs="仿宋"/>
                <w:sz w:val="18"/>
                <w:szCs w:val="18"/>
              </w:rPr>
              <w:t>95%</w:t>
            </w:r>
            <w:r>
              <w:rPr>
                <w:rFonts w:eastAsia="仿宋" w:cs="仿宋"/>
                <w:sz w:val="18"/>
                <w:szCs w:val="18"/>
              </w:rPr>
              <w:t>　</w:t>
            </w:r>
          </w:p>
        </w:tc>
        <w:tc>
          <w:tcPr>
            <w:tcW w:w="1202" w:type="dxa"/>
            <w:noWrap w:val="0"/>
            <w:vAlign w:val="center"/>
          </w:tcPr>
          <w:p>
            <w:pPr>
              <w:jc w:val="left"/>
              <w:rPr>
                <w:rFonts w:eastAsia="仿宋" w:cs="仿宋"/>
                <w:sz w:val="18"/>
                <w:szCs w:val="18"/>
              </w:rPr>
            </w:pPr>
            <w:r>
              <w:rPr>
                <w:rFonts w:hint="eastAsia" w:eastAsia="仿宋" w:cs="仿宋"/>
                <w:sz w:val="18"/>
                <w:szCs w:val="18"/>
              </w:rPr>
              <w:t>95%</w:t>
            </w:r>
          </w:p>
        </w:tc>
        <w:tc>
          <w:tcPr>
            <w:tcW w:w="718" w:type="dxa"/>
            <w:noWrap w:val="0"/>
            <w:vAlign w:val="center"/>
          </w:tcPr>
          <w:p>
            <w:pPr>
              <w:jc w:val="left"/>
              <w:rPr>
                <w:rFonts w:eastAsia="仿宋" w:cs="仿宋"/>
                <w:sz w:val="18"/>
                <w:szCs w:val="18"/>
              </w:rPr>
            </w:pPr>
            <w:r>
              <w:rPr>
                <w:rFonts w:hint="eastAsia" w:eastAsia="仿宋" w:cs="仿宋"/>
                <w:sz w:val="18"/>
                <w:szCs w:val="18"/>
              </w:rPr>
              <w:t>０．５</w:t>
            </w:r>
          </w:p>
        </w:tc>
        <w:tc>
          <w:tcPr>
            <w:tcW w:w="884"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０．５</w:t>
            </w:r>
            <w:r>
              <w:rPr>
                <w:rFonts w:ascii="Times New Roman" w:hAnsi="Times New Roman" w:eastAsia="仿宋_GB2312"/>
                <w:color w:val="000000"/>
                <w:sz w:val="18"/>
                <w:szCs w:val="18"/>
              </w:rPr>
              <w:t>　</w:t>
            </w:r>
          </w:p>
        </w:tc>
        <w:tc>
          <w:tcPr>
            <w:tcW w:w="1443"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35"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jc w:val="left"/>
              <w:rPr>
                <w:rFonts w:hint="eastAsia" w:eastAsia="仿宋" w:cs="仿宋"/>
                <w:sz w:val="18"/>
                <w:szCs w:val="18"/>
              </w:rPr>
            </w:pPr>
            <w:r>
              <w:rPr>
                <w:rFonts w:hint="eastAsia" w:eastAsia="仿宋" w:cs="仿宋"/>
                <w:sz w:val="18"/>
                <w:szCs w:val="18"/>
              </w:rPr>
              <w:t>陈家大屋消安防工程完工及时率</w:t>
            </w:r>
          </w:p>
        </w:tc>
        <w:tc>
          <w:tcPr>
            <w:tcW w:w="1146" w:type="dxa"/>
            <w:gridSpan w:val="2"/>
            <w:noWrap w:val="0"/>
            <w:vAlign w:val="center"/>
          </w:tcPr>
          <w:p>
            <w:pPr>
              <w:jc w:val="left"/>
              <w:rPr>
                <w:rFonts w:eastAsia="仿宋" w:cs="仿宋"/>
                <w:sz w:val="18"/>
                <w:szCs w:val="18"/>
              </w:rPr>
            </w:pPr>
            <w:r>
              <w:rPr>
                <w:rFonts w:hint="eastAsia" w:eastAsia="仿宋" w:cs="仿宋"/>
                <w:sz w:val="18"/>
                <w:szCs w:val="18"/>
              </w:rPr>
              <w:t>95%</w:t>
            </w:r>
            <w:r>
              <w:rPr>
                <w:rFonts w:eastAsia="仿宋" w:cs="仿宋"/>
                <w:sz w:val="18"/>
                <w:szCs w:val="18"/>
              </w:rPr>
              <w:t>　</w:t>
            </w:r>
          </w:p>
        </w:tc>
        <w:tc>
          <w:tcPr>
            <w:tcW w:w="1202" w:type="dxa"/>
            <w:noWrap w:val="0"/>
            <w:vAlign w:val="center"/>
          </w:tcPr>
          <w:p>
            <w:pPr>
              <w:jc w:val="left"/>
              <w:rPr>
                <w:rFonts w:eastAsia="仿宋" w:cs="仿宋"/>
                <w:sz w:val="18"/>
                <w:szCs w:val="18"/>
              </w:rPr>
            </w:pPr>
            <w:r>
              <w:rPr>
                <w:rFonts w:hint="eastAsia" w:eastAsia="仿宋" w:cs="仿宋"/>
                <w:sz w:val="18"/>
                <w:szCs w:val="18"/>
              </w:rPr>
              <w:t>95%</w:t>
            </w:r>
          </w:p>
        </w:tc>
        <w:tc>
          <w:tcPr>
            <w:tcW w:w="718" w:type="dxa"/>
            <w:noWrap w:val="0"/>
            <w:vAlign w:val="center"/>
          </w:tcPr>
          <w:p>
            <w:pPr>
              <w:jc w:val="left"/>
              <w:rPr>
                <w:rFonts w:hint="eastAsia" w:eastAsia="仿宋" w:cs="仿宋"/>
                <w:sz w:val="18"/>
                <w:szCs w:val="18"/>
              </w:rPr>
            </w:pPr>
            <w:r>
              <w:rPr>
                <w:rFonts w:hint="eastAsia" w:eastAsia="仿宋" w:cs="仿宋"/>
                <w:sz w:val="18"/>
                <w:szCs w:val="18"/>
              </w:rPr>
              <w:t>０．５</w:t>
            </w:r>
          </w:p>
        </w:tc>
        <w:tc>
          <w:tcPr>
            <w:tcW w:w="884" w:type="dxa"/>
            <w:noWrap w:val="0"/>
            <w:vAlign w:val="center"/>
          </w:tcPr>
          <w:p>
            <w:pPr>
              <w:jc w:val="left"/>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0.5</w:t>
            </w:r>
          </w:p>
        </w:tc>
        <w:tc>
          <w:tcPr>
            <w:tcW w:w="1443"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因疫情影响工程进度滞后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35"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jc w:val="left"/>
              <w:rPr>
                <w:rFonts w:hint="eastAsia" w:eastAsia="仿宋" w:cs="仿宋"/>
                <w:sz w:val="18"/>
                <w:szCs w:val="18"/>
              </w:rPr>
            </w:pPr>
            <w:r>
              <w:rPr>
                <w:rFonts w:hint="eastAsia" w:eastAsia="仿宋" w:cs="仿宋"/>
                <w:sz w:val="18"/>
                <w:szCs w:val="18"/>
              </w:rPr>
              <w:t>安保人员值守及时率</w:t>
            </w:r>
          </w:p>
        </w:tc>
        <w:tc>
          <w:tcPr>
            <w:tcW w:w="1146" w:type="dxa"/>
            <w:gridSpan w:val="2"/>
            <w:noWrap w:val="0"/>
            <w:vAlign w:val="center"/>
          </w:tcPr>
          <w:p>
            <w:pPr>
              <w:jc w:val="left"/>
              <w:rPr>
                <w:rFonts w:hint="eastAsia" w:eastAsia="仿宋" w:cs="仿宋"/>
                <w:sz w:val="18"/>
                <w:szCs w:val="18"/>
              </w:rPr>
            </w:pPr>
            <w:r>
              <w:rPr>
                <w:rFonts w:hint="eastAsia" w:eastAsia="仿宋" w:cs="仿宋"/>
                <w:sz w:val="18"/>
                <w:szCs w:val="18"/>
              </w:rPr>
              <w:t>24小时</w:t>
            </w:r>
          </w:p>
        </w:tc>
        <w:tc>
          <w:tcPr>
            <w:tcW w:w="1202" w:type="dxa"/>
            <w:noWrap w:val="0"/>
            <w:vAlign w:val="center"/>
          </w:tcPr>
          <w:p>
            <w:pPr>
              <w:jc w:val="left"/>
              <w:rPr>
                <w:rFonts w:hint="eastAsia" w:eastAsia="仿宋" w:cs="仿宋"/>
                <w:sz w:val="18"/>
                <w:szCs w:val="18"/>
              </w:rPr>
            </w:pPr>
            <w:r>
              <w:rPr>
                <w:rFonts w:hint="eastAsia" w:eastAsia="仿宋" w:cs="仿宋"/>
                <w:sz w:val="18"/>
                <w:szCs w:val="18"/>
              </w:rPr>
              <w:t>24小计</w:t>
            </w:r>
          </w:p>
        </w:tc>
        <w:tc>
          <w:tcPr>
            <w:tcW w:w="718" w:type="dxa"/>
            <w:noWrap w:val="0"/>
            <w:vAlign w:val="center"/>
          </w:tcPr>
          <w:p>
            <w:pPr>
              <w:jc w:val="left"/>
              <w:rPr>
                <w:rFonts w:hint="eastAsia" w:eastAsia="仿宋" w:cs="仿宋"/>
                <w:sz w:val="18"/>
                <w:szCs w:val="18"/>
              </w:rPr>
            </w:pPr>
            <w:r>
              <w:rPr>
                <w:rFonts w:hint="eastAsia" w:eastAsia="仿宋" w:cs="仿宋"/>
                <w:sz w:val="18"/>
                <w:szCs w:val="18"/>
              </w:rPr>
              <w:t>０．５</w:t>
            </w:r>
          </w:p>
        </w:tc>
        <w:tc>
          <w:tcPr>
            <w:tcW w:w="884" w:type="dxa"/>
            <w:noWrap w:val="0"/>
            <w:vAlign w:val="center"/>
          </w:tcPr>
          <w:p>
            <w:pPr>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０．５</w:t>
            </w:r>
          </w:p>
        </w:tc>
        <w:tc>
          <w:tcPr>
            <w:tcW w:w="1443" w:type="dxa"/>
            <w:noWrap w:val="0"/>
            <w:vAlign w:val="center"/>
          </w:tcPr>
          <w:p>
            <w:pPr>
              <w:jc w:val="left"/>
              <w:rPr>
                <w:rFonts w:ascii="Times New Roman" w:hAnsi="Times New Roman"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35"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widowControl/>
              <w:jc w:val="left"/>
              <w:rPr>
                <w:rFonts w:hint="eastAsia" w:eastAsia="仿宋" w:cs="仿宋"/>
                <w:sz w:val="18"/>
                <w:szCs w:val="18"/>
              </w:rPr>
            </w:pPr>
            <w:r>
              <w:rPr>
                <w:rFonts w:hint="eastAsia" w:eastAsia="仿宋" w:cs="仿宋"/>
                <w:sz w:val="18"/>
                <w:szCs w:val="18"/>
              </w:rPr>
              <w:t>纪念馆布展工程完工及时率</w:t>
            </w:r>
          </w:p>
        </w:tc>
        <w:tc>
          <w:tcPr>
            <w:tcW w:w="1146" w:type="dxa"/>
            <w:gridSpan w:val="2"/>
            <w:noWrap w:val="0"/>
            <w:vAlign w:val="center"/>
          </w:tcPr>
          <w:p>
            <w:pPr>
              <w:widowControl/>
              <w:jc w:val="left"/>
              <w:rPr>
                <w:rFonts w:eastAsia="仿宋" w:cs="仿宋"/>
                <w:sz w:val="18"/>
                <w:szCs w:val="18"/>
              </w:rPr>
            </w:pPr>
            <w:r>
              <w:rPr>
                <w:rFonts w:hint="eastAsia" w:eastAsia="仿宋" w:cs="仿宋"/>
                <w:sz w:val="18"/>
                <w:szCs w:val="18"/>
              </w:rPr>
              <w:t>95%</w:t>
            </w:r>
          </w:p>
        </w:tc>
        <w:tc>
          <w:tcPr>
            <w:tcW w:w="1202" w:type="dxa"/>
            <w:noWrap w:val="0"/>
            <w:vAlign w:val="center"/>
          </w:tcPr>
          <w:p>
            <w:pPr>
              <w:widowControl/>
              <w:jc w:val="left"/>
              <w:rPr>
                <w:rFonts w:eastAsia="仿宋" w:cs="仿宋"/>
                <w:sz w:val="18"/>
                <w:szCs w:val="18"/>
              </w:rPr>
            </w:pPr>
            <w:r>
              <w:rPr>
                <w:rFonts w:hint="eastAsia" w:eastAsia="仿宋" w:cs="仿宋"/>
                <w:sz w:val="18"/>
                <w:szCs w:val="18"/>
              </w:rPr>
              <w:t>95%</w:t>
            </w:r>
          </w:p>
        </w:tc>
        <w:tc>
          <w:tcPr>
            <w:tcW w:w="718" w:type="dxa"/>
            <w:noWrap w:val="0"/>
            <w:vAlign w:val="center"/>
          </w:tcPr>
          <w:p>
            <w:pPr>
              <w:widowControl/>
              <w:jc w:val="left"/>
              <w:rPr>
                <w:rFonts w:hint="eastAsia" w:eastAsia="仿宋" w:cs="仿宋"/>
                <w:sz w:val="18"/>
                <w:szCs w:val="18"/>
              </w:rPr>
            </w:pPr>
            <w:r>
              <w:rPr>
                <w:rFonts w:eastAsia="仿宋" w:cs="仿宋"/>
                <w:sz w:val="18"/>
                <w:szCs w:val="18"/>
              </w:rPr>
              <w:t>　</w:t>
            </w:r>
            <w:r>
              <w:rPr>
                <w:rFonts w:hint="eastAsia" w:eastAsia="仿宋" w:cs="仿宋"/>
                <w:sz w:val="18"/>
                <w:szCs w:val="18"/>
              </w:rPr>
              <w:t>０．５</w:t>
            </w:r>
          </w:p>
        </w:tc>
        <w:tc>
          <w:tcPr>
            <w:tcW w:w="884" w:type="dxa"/>
            <w:noWrap w:val="0"/>
            <w:vAlign w:val="center"/>
          </w:tcPr>
          <w:p>
            <w:pPr>
              <w:widowControl/>
              <w:jc w:val="left"/>
              <w:rPr>
                <w:rFonts w:hint="eastAsia" w:eastAsia="仿宋" w:cs="仿宋"/>
                <w:sz w:val="18"/>
                <w:szCs w:val="18"/>
              </w:rPr>
            </w:pPr>
            <w:r>
              <w:rPr>
                <w:rFonts w:eastAsia="仿宋" w:cs="仿宋"/>
                <w:sz w:val="18"/>
                <w:szCs w:val="18"/>
              </w:rPr>
              <w:t>　</w:t>
            </w:r>
            <w:r>
              <w:rPr>
                <w:rFonts w:hint="eastAsia" w:eastAsia="仿宋" w:cs="仿宋"/>
                <w:sz w:val="18"/>
                <w:szCs w:val="18"/>
              </w:rPr>
              <w:t>０．５</w:t>
            </w:r>
          </w:p>
        </w:tc>
        <w:tc>
          <w:tcPr>
            <w:tcW w:w="1443" w:type="dxa"/>
            <w:noWrap w:val="0"/>
            <w:vAlign w:val="center"/>
          </w:tcPr>
          <w:p>
            <w:pPr>
              <w:widowControl/>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35"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widowControl/>
              <w:jc w:val="left"/>
              <w:rPr>
                <w:rFonts w:hint="eastAsia" w:eastAsia="仿宋" w:cs="仿宋"/>
                <w:sz w:val="18"/>
                <w:szCs w:val="18"/>
              </w:rPr>
            </w:pPr>
            <w:r>
              <w:rPr>
                <w:rFonts w:hint="eastAsia" w:eastAsia="仿宋" w:cs="仿宋"/>
                <w:sz w:val="18"/>
                <w:szCs w:val="18"/>
              </w:rPr>
              <w:t>消防工程完工及时率</w:t>
            </w:r>
          </w:p>
        </w:tc>
        <w:tc>
          <w:tcPr>
            <w:tcW w:w="1146" w:type="dxa"/>
            <w:gridSpan w:val="2"/>
            <w:noWrap w:val="0"/>
            <w:vAlign w:val="center"/>
          </w:tcPr>
          <w:p>
            <w:pPr>
              <w:widowControl/>
              <w:jc w:val="left"/>
              <w:rPr>
                <w:rFonts w:eastAsia="仿宋" w:cs="仿宋"/>
                <w:sz w:val="18"/>
                <w:szCs w:val="18"/>
              </w:rPr>
            </w:pPr>
            <w:r>
              <w:rPr>
                <w:rFonts w:hint="eastAsia" w:eastAsia="仿宋" w:cs="仿宋"/>
                <w:sz w:val="18"/>
                <w:szCs w:val="18"/>
              </w:rPr>
              <w:t>95%</w:t>
            </w:r>
          </w:p>
        </w:tc>
        <w:tc>
          <w:tcPr>
            <w:tcW w:w="1202" w:type="dxa"/>
            <w:noWrap w:val="0"/>
            <w:vAlign w:val="center"/>
          </w:tcPr>
          <w:p>
            <w:pPr>
              <w:widowControl/>
              <w:jc w:val="left"/>
              <w:rPr>
                <w:rFonts w:eastAsia="仿宋" w:cs="仿宋"/>
                <w:sz w:val="18"/>
                <w:szCs w:val="18"/>
              </w:rPr>
            </w:pPr>
            <w:r>
              <w:rPr>
                <w:rFonts w:hint="eastAsia" w:eastAsia="仿宋" w:cs="仿宋"/>
                <w:sz w:val="18"/>
                <w:szCs w:val="18"/>
              </w:rPr>
              <w:t>95%</w:t>
            </w:r>
          </w:p>
        </w:tc>
        <w:tc>
          <w:tcPr>
            <w:tcW w:w="718" w:type="dxa"/>
            <w:noWrap w:val="0"/>
            <w:vAlign w:val="center"/>
          </w:tcPr>
          <w:p>
            <w:pPr>
              <w:widowControl/>
              <w:jc w:val="left"/>
              <w:rPr>
                <w:rFonts w:hint="eastAsia" w:eastAsia="仿宋" w:cs="仿宋"/>
                <w:sz w:val="18"/>
                <w:szCs w:val="18"/>
              </w:rPr>
            </w:pPr>
            <w:r>
              <w:rPr>
                <w:rFonts w:eastAsia="仿宋" w:cs="仿宋"/>
                <w:sz w:val="18"/>
                <w:szCs w:val="18"/>
              </w:rPr>
              <w:t>　</w:t>
            </w:r>
            <w:r>
              <w:rPr>
                <w:rFonts w:hint="eastAsia" w:eastAsia="仿宋" w:cs="仿宋"/>
                <w:sz w:val="18"/>
                <w:szCs w:val="18"/>
              </w:rPr>
              <w:t>０．５</w:t>
            </w:r>
          </w:p>
        </w:tc>
        <w:tc>
          <w:tcPr>
            <w:tcW w:w="884" w:type="dxa"/>
            <w:noWrap w:val="0"/>
            <w:vAlign w:val="center"/>
          </w:tcPr>
          <w:p>
            <w:pPr>
              <w:widowControl/>
              <w:jc w:val="left"/>
              <w:rPr>
                <w:rFonts w:hint="eastAsia" w:eastAsia="仿宋" w:cs="仿宋"/>
                <w:sz w:val="18"/>
                <w:szCs w:val="18"/>
              </w:rPr>
            </w:pPr>
            <w:r>
              <w:rPr>
                <w:rFonts w:eastAsia="仿宋" w:cs="仿宋"/>
                <w:sz w:val="18"/>
                <w:szCs w:val="18"/>
              </w:rPr>
              <w:t>　</w:t>
            </w:r>
            <w:r>
              <w:rPr>
                <w:rFonts w:hint="eastAsia" w:eastAsia="仿宋" w:cs="仿宋"/>
                <w:sz w:val="18"/>
                <w:szCs w:val="18"/>
              </w:rPr>
              <w:t>０．５</w:t>
            </w:r>
          </w:p>
        </w:tc>
        <w:tc>
          <w:tcPr>
            <w:tcW w:w="1443" w:type="dxa"/>
            <w:noWrap w:val="0"/>
            <w:vAlign w:val="center"/>
          </w:tcPr>
          <w:p>
            <w:pPr>
              <w:widowControl/>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35"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widowControl/>
              <w:jc w:val="left"/>
              <w:rPr>
                <w:rFonts w:hint="eastAsia" w:eastAsia="仿宋" w:cs="仿宋"/>
                <w:sz w:val="18"/>
                <w:szCs w:val="18"/>
              </w:rPr>
            </w:pPr>
            <w:r>
              <w:rPr>
                <w:rFonts w:hint="eastAsia" w:eastAsia="仿宋" w:cs="仿宋"/>
                <w:sz w:val="18"/>
                <w:szCs w:val="18"/>
              </w:rPr>
              <w:t>开展陈列布展及时率</w:t>
            </w:r>
          </w:p>
        </w:tc>
        <w:tc>
          <w:tcPr>
            <w:tcW w:w="1146" w:type="dxa"/>
            <w:gridSpan w:val="2"/>
            <w:noWrap w:val="0"/>
            <w:vAlign w:val="center"/>
          </w:tcPr>
          <w:p>
            <w:pPr>
              <w:widowControl/>
              <w:jc w:val="left"/>
              <w:rPr>
                <w:rFonts w:eastAsia="仿宋" w:cs="仿宋"/>
                <w:sz w:val="18"/>
                <w:szCs w:val="18"/>
              </w:rPr>
            </w:pPr>
            <w:r>
              <w:rPr>
                <w:rFonts w:hint="eastAsia" w:eastAsia="仿宋" w:cs="仿宋"/>
                <w:sz w:val="18"/>
                <w:szCs w:val="18"/>
              </w:rPr>
              <w:t>2021年12月以前</w:t>
            </w:r>
            <w:r>
              <w:rPr>
                <w:rFonts w:eastAsia="仿宋" w:cs="仿宋"/>
                <w:sz w:val="18"/>
                <w:szCs w:val="18"/>
              </w:rPr>
              <w:t>　</w:t>
            </w:r>
          </w:p>
        </w:tc>
        <w:tc>
          <w:tcPr>
            <w:tcW w:w="1202" w:type="dxa"/>
            <w:noWrap w:val="0"/>
            <w:vAlign w:val="center"/>
          </w:tcPr>
          <w:p>
            <w:pPr>
              <w:widowControl/>
              <w:jc w:val="left"/>
              <w:rPr>
                <w:rFonts w:eastAsia="仿宋" w:cs="仿宋"/>
                <w:sz w:val="18"/>
                <w:szCs w:val="18"/>
              </w:rPr>
            </w:pPr>
            <w:r>
              <w:rPr>
                <w:rFonts w:hint="eastAsia" w:eastAsia="仿宋" w:cs="仿宋"/>
                <w:sz w:val="18"/>
                <w:szCs w:val="18"/>
              </w:rPr>
              <w:t>2021年12月以前</w:t>
            </w:r>
            <w:r>
              <w:rPr>
                <w:rFonts w:eastAsia="仿宋" w:cs="仿宋"/>
                <w:sz w:val="18"/>
                <w:szCs w:val="18"/>
              </w:rPr>
              <w:t>　</w:t>
            </w:r>
          </w:p>
        </w:tc>
        <w:tc>
          <w:tcPr>
            <w:tcW w:w="718" w:type="dxa"/>
            <w:noWrap w:val="0"/>
            <w:vAlign w:val="center"/>
          </w:tcPr>
          <w:p>
            <w:pPr>
              <w:widowControl/>
              <w:jc w:val="left"/>
              <w:rPr>
                <w:rFonts w:hint="eastAsia" w:eastAsia="仿宋" w:cs="仿宋"/>
                <w:sz w:val="18"/>
                <w:szCs w:val="18"/>
              </w:rPr>
            </w:pPr>
            <w:r>
              <w:rPr>
                <w:rFonts w:eastAsia="仿宋" w:cs="仿宋"/>
                <w:sz w:val="18"/>
                <w:szCs w:val="18"/>
              </w:rPr>
              <w:t>　</w:t>
            </w:r>
            <w:r>
              <w:rPr>
                <w:rFonts w:hint="eastAsia" w:eastAsia="仿宋" w:cs="仿宋"/>
                <w:sz w:val="18"/>
                <w:szCs w:val="18"/>
              </w:rPr>
              <w:t>０．５</w:t>
            </w:r>
          </w:p>
        </w:tc>
        <w:tc>
          <w:tcPr>
            <w:tcW w:w="884" w:type="dxa"/>
            <w:noWrap w:val="0"/>
            <w:vAlign w:val="center"/>
          </w:tcPr>
          <w:p>
            <w:pPr>
              <w:widowControl/>
              <w:jc w:val="left"/>
              <w:rPr>
                <w:rFonts w:hint="eastAsia" w:eastAsia="仿宋" w:cs="仿宋"/>
                <w:sz w:val="18"/>
                <w:szCs w:val="18"/>
              </w:rPr>
            </w:pPr>
            <w:r>
              <w:rPr>
                <w:rFonts w:hint="eastAsia" w:eastAsia="仿宋" w:cs="仿宋"/>
                <w:sz w:val="18"/>
                <w:szCs w:val="18"/>
              </w:rPr>
              <w:t>０．５</w:t>
            </w:r>
          </w:p>
        </w:tc>
        <w:tc>
          <w:tcPr>
            <w:tcW w:w="1443" w:type="dxa"/>
            <w:noWrap w:val="0"/>
            <w:vAlign w:val="center"/>
          </w:tcPr>
          <w:p>
            <w:pPr>
              <w:widowControl/>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noWrap w:val="0"/>
            <w:vAlign w:val="center"/>
          </w:tcPr>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成本指标</w:t>
            </w:r>
          </w:p>
        </w:tc>
        <w:tc>
          <w:tcPr>
            <w:tcW w:w="1078" w:type="dxa"/>
            <w:noWrap w:val="0"/>
            <w:vAlign w:val="center"/>
          </w:tcPr>
          <w:p>
            <w:pPr>
              <w:spacing w:line="240" w:lineRule="exac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预算成本控制情况</w:t>
            </w:r>
          </w:p>
        </w:tc>
        <w:tc>
          <w:tcPr>
            <w:tcW w:w="1146" w:type="dxa"/>
            <w:gridSpan w:val="2"/>
            <w:noWrap w:val="0"/>
            <w:vAlign w:val="center"/>
          </w:tcPr>
          <w:p>
            <w:pPr>
              <w:spacing w:line="240" w:lineRule="exact"/>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1363.7万元</w:t>
            </w:r>
            <w:r>
              <w:rPr>
                <w:rFonts w:ascii="Times New Roman" w:hAnsi="Times New Roman" w:eastAsia="仿宋_GB2312"/>
                <w:color w:val="000000"/>
                <w:sz w:val="18"/>
                <w:szCs w:val="18"/>
              </w:rPr>
              <w:t>　</w:t>
            </w:r>
          </w:p>
        </w:tc>
        <w:tc>
          <w:tcPr>
            <w:tcW w:w="1202" w:type="dxa"/>
            <w:noWrap w:val="0"/>
            <w:vAlign w:val="center"/>
          </w:tcPr>
          <w:p>
            <w:pPr>
              <w:spacing w:line="240" w:lineRule="exact"/>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1363.7万元</w:t>
            </w:r>
            <w:r>
              <w:rPr>
                <w:rFonts w:ascii="Times New Roman" w:hAnsi="Times New Roman" w:eastAsia="仿宋_GB2312"/>
                <w:color w:val="000000"/>
                <w:sz w:val="18"/>
                <w:szCs w:val="18"/>
              </w:rPr>
              <w:t>　</w:t>
            </w:r>
          </w:p>
        </w:tc>
        <w:tc>
          <w:tcPr>
            <w:tcW w:w="718" w:type="dxa"/>
            <w:noWrap w:val="0"/>
            <w:vAlign w:val="center"/>
          </w:tcPr>
          <w:p>
            <w:pPr>
              <w:spacing w:line="24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8</w:t>
            </w:r>
          </w:p>
        </w:tc>
        <w:tc>
          <w:tcPr>
            <w:tcW w:w="884" w:type="dxa"/>
            <w:noWrap w:val="0"/>
            <w:vAlign w:val="center"/>
          </w:tcPr>
          <w:p>
            <w:pPr>
              <w:spacing w:line="240" w:lineRule="exact"/>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 xml:space="preserve">  8</w:t>
            </w:r>
          </w:p>
        </w:tc>
        <w:tc>
          <w:tcPr>
            <w:tcW w:w="1443" w:type="dxa"/>
            <w:noWrap w:val="0"/>
            <w:vAlign w:val="center"/>
          </w:tcPr>
          <w:p>
            <w:pPr>
              <w:spacing w:line="240" w:lineRule="exact"/>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restart"/>
            <w:noWrap w:val="0"/>
            <w:vAlign w:val="center"/>
          </w:tcPr>
          <w:p>
            <w:pPr>
              <w:spacing w:line="240" w:lineRule="exact"/>
              <w:jc w:val="left"/>
              <w:rPr>
                <w:rFonts w:ascii="Times New Roman" w:hAnsi="Times New Roman" w:eastAsia="仿宋_GB2312"/>
                <w:color w:val="000000"/>
                <w:sz w:val="18"/>
                <w:szCs w:val="18"/>
              </w:rPr>
            </w:pPr>
            <w:r>
              <w:rPr>
                <w:rFonts w:ascii="Times New Roman" w:hAnsi="Times New Roman" w:eastAsia="仿宋_GB2312"/>
                <w:color w:val="000000"/>
                <w:sz w:val="18"/>
                <w:szCs w:val="18"/>
              </w:rPr>
              <w:t>效益指标</w:t>
            </w:r>
          </w:p>
          <w:p>
            <w:pPr>
              <w:spacing w:line="240" w:lineRule="exact"/>
              <w:jc w:val="left"/>
              <w:rPr>
                <w:rFonts w:ascii="Times New Roman" w:hAnsi="Times New Roman" w:eastAsia="仿宋_GB2312"/>
                <w:color w:val="000000"/>
                <w:sz w:val="18"/>
                <w:szCs w:val="18"/>
              </w:rPr>
            </w:pPr>
          </w:p>
          <w:p>
            <w:pPr>
              <w:spacing w:line="240" w:lineRule="exact"/>
              <w:jc w:val="left"/>
              <w:rPr>
                <w:rFonts w:ascii="Times New Roman" w:hAnsi="Times New Roman" w:eastAsia="仿宋_GB2312"/>
                <w:color w:val="000000"/>
                <w:sz w:val="18"/>
                <w:szCs w:val="18"/>
              </w:rPr>
            </w:pPr>
            <w:r>
              <w:rPr>
                <w:rFonts w:ascii="Times New Roman" w:hAnsi="Times New Roman" w:eastAsia="仿宋_GB2312"/>
                <w:color w:val="000000"/>
                <w:sz w:val="18"/>
                <w:szCs w:val="18"/>
              </w:rPr>
              <w:t>（30分）</w:t>
            </w:r>
          </w:p>
          <w:p>
            <w:pPr>
              <w:spacing w:line="240" w:lineRule="exact"/>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930" w:type="dxa"/>
            <w:noWrap w:val="0"/>
            <w:vAlign w:val="center"/>
          </w:tcPr>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经济效</w:t>
            </w:r>
          </w:p>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益指标</w:t>
            </w:r>
          </w:p>
        </w:tc>
        <w:tc>
          <w:tcPr>
            <w:tcW w:w="1078" w:type="dxa"/>
            <w:noWrap w:val="0"/>
            <w:vAlign w:val="center"/>
          </w:tcPr>
          <w:p>
            <w:pPr>
              <w:spacing w:line="240" w:lineRule="exac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不适用</w:t>
            </w:r>
          </w:p>
        </w:tc>
        <w:tc>
          <w:tcPr>
            <w:tcW w:w="1146" w:type="dxa"/>
            <w:gridSpan w:val="2"/>
            <w:noWrap w:val="0"/>
            <w:vAlign w:val="center"/>
          </w:tcPr>
          <w:p>
            <w:pPr>
              <w:spacing w:line="240" w:lineRule="exact"/>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w:t>
            </w:r>
            <w:r>
              <w:rPr>
                <w:rFonts w:ascii="Times New Roman" w:hAnsi="Times New Roman" w:eastAsia="仿宋_GB2312"/>
                <w:color w:val="000000"/>
                <w:sz w:val="18"/>
                <w:szCs w:val="18"/>
              </w:rPr>
              <w:t>　</w:t>
            </w:r>
          </w:p>
        </w:tc>
        <w:tc>
          <w:tcPr>
            <w:tcW w:w="1202" w:type="dxa"/>
            <w:noWrap w:val="0"/>
            <w:vAlign w:val="center"/>
          </w:tcPr>
          <w:p>
            <w:pPr>
              <w:spacing w:line="240" w:lineRule="exact"/>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w:t>
            </w:r>
            <w:r>
              <w:rPr>
                <w:rFonts w:ascii="Times New Roman" w:hAnsi="Times New Roman" w:eastAsia="仿宋_GB2312"/>
                <w:color w:val="000000"/>
                <w:sz w:val="18"/>
                <w:szCs w:val="18"/>
              </w:rPr>
              <w:t>　</w:t>
            </w:r>
          </w:p>
        </w:tc>
        <w:tc>
          <w:tcPr>
            <w:tcW w:w="718" w:type="dxa"/>
            <w:noWrap w:val="0"/>
            <w:vAlign w:val="center"/>
          </w:tcPr>
          <w:p>
            <w:pPr>
              <w:spacing w:line="24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w:t>
            </w:r>
          </w:p>
        </w:tc>
        <w:tc>
          <w:tcPr>
            <w:tcW w:w="884" w:type="dxa"/>
            <w:noWrap w:val="0"/>
            <w:vAlign w:val="center"/>
          </w:tcPr>
          <w:p>
            <w:pPr>
              <w:spacing w:line="24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w:t>
            </w:r>
          </w:p>
        </w:tc>
        <w:tc>
          <w:tcPr>
            <w:tcW w:w="1443" w:type="dxa"/>
            <w:noWrap w:val="0"/>
            <w:vAlign w:val="center"/>
          </w:tcPr>
          <w:p>
            <w:pPr>
              <w:spacing w:line="240" w:lineRule="exact"/>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restart"/>
            <w:noWrap w:val="0"/>
            <w:vAlign w:val="center"/>
          </w:tcPr>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社会效</w:t>
            </w:r>
          </w:p>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益指标</w:t>
            </w:r>
          </w:p>
        </w:tc>
        <w:tc>
          <w:tcPr>
            <w:tcW w:w="1078" w:type="dxa"/>
            <w:noWrap w:val="0"/>
            <w:vAlign w:val="center"/>
          </w:tcPr>
          <w:p>
            <w:pPr>
              <w:jc w:val="left"/>
              <w:rPr>
                <w:rFonts w:hint="eastAsia" w:eastAsia="仿宋" w:cs="仿宋"/>
                <w:sz w:val="20"/>
                <w:szCs w:val="20"/>
              </w:rPr>
            </w:pPr>
            <w:r>
              <w:rPr>
                <w:rFonts w:hint="eastAsia" w:eastAsia="仿宋" w:cs="仿宋"/>
                <w:sz w:val="20"/>
                <w:szCs w:val="20"/>
              </w:rPr>
              <w:t>打造红色教育基地，保障纪念馆、红色文化主题公园对外开放</w:t>
            </w:r>
          </w:p>
        </w:tc>
        <w:tc>
          <w:tcPr>
            <w:tcW w:w="1146" w:type="dxa"/>
            <w:gridSpan w:val="2"/>
            <w:noWrap w:val="0"/>
            <w:vAlign w:val="center"/>
          </w:tcPr>
          <w:p>
            <w:pPr>
              <w:jc w:val="left"/>
              <w:rPr>
                <w:rFonts w:hint="eastAsia" w:eastAsia="仿宋" w:cs="仿宋"/>
                <w:sz w:val="20"/>
                <w:szCs w:val="20"/>
              </w:rPr>
            </w:pPr>
            <w:r>
              <w:rPr>
                <w:rFonts w:hint="eastAsia" w:eastAsia="仿宋" w:cs="仿宋"/>
                <w:sz w:val="20"/>
                <w:szCs w:val="20"/>
              </w:rPr>
              <w:t>有效保障</w:t>
            </w:r>
          </w:p>
        </w:tc>
        <w:tc>
          <w:tcPr>
            <w:tcW w:w="1202" w:type="dxa"/>
            <w:noWrap w:val="0"/>
            <w:vAlign w:val="center"/>
          </w:tcPr>
          <w:p>
            <w:pPr>
              <w:jc w:val="left"/>
              <w:rPr>
                <w:rFonts w:eastAsia="仿宋" w:cs="仿宋"/>
                <w:sz w:val="20"/>
                <w:szCs w:val="20"/>
              </w:rPr>
            </w:pPr>
            <w:r>
              <w:rPr>
                <w:rFonts w:hint="eastAsia" w:eastAsia="仿宋" w:cs="仿宋"/>
                <w:sz w:val="20"/>
                <w:szCs w:val="20"/>
              </w:rPr>
              <w:t>有效保障</w:t>
            </w:r>
            <w:r>
              <w:rPr>
                <w:rFonts w:eastAsia="仿宋" w:cs="仿宋"/>
                <w:sz w:val="20"/>
                <w:szCs w:val="20"/>
              </w:rPr>
              <w:t>　</w:t>
            </w:r>
          </w:p>
        </w:tc>
        <w:tc>
          <w:tcPr>
            <w:tcW w:w="718" w:type="dxa"/>
            <w:noWrap w:val="0"/>
            <w:vAlign w:val="center"/>
          </w:tcPr>
          <w:p>
            <w:pPr>
              <w:jc w:val="left"/>
              <w:rPr>
                <w:rFonts w:hint="eastAsia" w:eastAsia="仿宋" w:cs="仿宋"/>
                <w:sz w:val="20"/>
                <w:szCs w:val="20"/>
                <w:lang w:eastAsia="zh-CN"/>
              </w:rPr>
            </w:pPr>
            <w:r>
              <w:rPr>
                <w:rFonts w:eastAsia="仿宋" w:cs="仿宋"/>
                <w:sz w:val="20"/>
                <w:szCs w:val="20"/>
              </w:rPr>
              <w:t>　</w:t>
            </w:r>
            <w:r>
              <w:rPr>
                <w:rFonts w:hint="eastAsia" w:eastAsia="仿宋" w:cs="仿宋"/>
                <w:sz w:val="20"/>
                <w:szCs w:val="20"/>
                <w:lang w:val="en-US" w:eastAsia="zh-CN"/>
              </w:rPr>
              <w:t>3</w:t>
            </w:r>
          </w:p>
        </w:tc>
        <w:tc>
          <w:tcPr>
            <w:tcW w:w="884" w:type="dxa"/>
            <w:noWrap w:val="0"/>
            <w:vAlign w:val="center"/>
          </w:tcPr>
          <w:p>
            <w:pPr>
              <w:jc w:val="left"/>
              <w:rPr>
                <w:rFonts w:hint="eastAsia" w:eastAsia="仿宋" w:cs="仿宋"/>
                <w:sz w:val="20"/>
                <w:szCs w:val="20"/>
                <w:lang w:eastAsia="zh-CN"/>
              </w:rPr>
            </w:pPr>
            <w:r>
              <w:rPr>
                <w:rFonts w:eastAsia="仿宋" w:cs="仿宋"/>
                <w:sz w:val="20"/>
                <w:szCs w:val="20"/>
              </w:rPr>
              <w:t>　</w:t>
            </w:r>
            <w:r>
              <w:rPr>
                <w:rFonts w:hint="eastAsia" w:eastAsia="仿宋" w:cs="仿宋"/>
                <w:sz w:val="20"/>
                <w:szCs w:val="20"/>
                <w:lang w:val="en-US" w:eastAsia="zh-CN"/>
              </w:rPr>
              <w:t>3</w:t>
            </w:r>
          </w:p>
        </w:tc>
        <w:tc>
          <w:tcPr>
            <w:tcW w:w="1443" w:type="dxa"/>
            <w:noWrap w:val="0"/>
            <w:vAlign w:val="center"/>
          </w:tcPr>
          <w:p>
            <w:pPr>
              <w:jc w:val="left"/>
              <w:rPr>
                <w:rFonts w:hint="eastAsia" w:eastAsia="仿宋" w:cs="仿宋"/>
                <w:sz w:val="20"/>
                <w:szCs w:val="20"/>
              </w:rPr>
            </w:pPr>
            <w:r>
              <w:rPr>
                <w:rFonts w:eastAsia="仿宋" w:cs="仿宋"/>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widowControl/>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提高文物藏品量</w:t>
            </w:r>
          </w:p>
        </w:tc>
        <w:tc>
          <w:tcPr>
            <w:tcW w:w="1146" w:type="dxa"/>
            <w:gridSpan w:val="2"/>
            <w:noWrap w:val="0"/>
            <w:vAlign w:val="center"/>
          </w:tcPr>
          <w:p>
            <w:pPr>
              <w:widowControl/>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提高</w:t>
            </w:r>
          </w:p>
        </w:tc>
        <w:tc>
          <w:tcPr>
            <w:tcW w:w="1202" w:type="dxa"/>
            <w:noWrap w:val="0"/>
            <w:vAlign w:val="center"/>
          </w:tcPr>
          <w:p>
            <w:pPr>
              <w:widowControl/>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有效提高</w:t>
            </w:r>
          </w:p>
        </w:tc>
        <w:tc>
          <w:tcPr>
            <w:tcW w:w="718" w:type="dxa"/>
            <w:noWrap w:val="0"/>
            <w:vAlign w:val="center"/>
          </w:tcPr>
          <w:p>
            <w:pPr>
              <w:widowControl/>
              <w:ind w:firstLine="180" w:firstLineChars="100"/>
              <w:jc w:val="left"/>
              <w:rPr>
                <w:rFonts w:hint="eastAsia" w:ascii="Times New Roman" w:hAnsi="Times New Roman" w:eastAsia="仿宋_GB2312"/>
                <w:color w:val="000000"/>
                <w:sz w:val="18"/>
                <w:szCs w:val="18"/>
                <w:lang w:eastAsia="zh-CN"/>
              </w:rPr>
            </w:pPr>
            <w:r>
              <w:rPr>
                <w:rFonts w:hint="eastAsia" w:ascii="Times New Roman" w:hAnsi="Times New Roman" w:eastAsia="仿宋_GB2312"/>
                <w:color w:val="000000"/>
                <w:sz w:val="18"/>
                <w:szCs w:val="18"/>
                <w:lang w:val="en-US" w:eastAsia="zh-CN"/>
              </w:rPr>
              <w:t>3</w:t>
            </w:r>
          </w:p>
        </w:tc>
        <w:tc>
          <w:tcPr>
            <w:tcW w:w="884" w:type="dxa"/>
            <w:noWrap w:val="0"/>
            <w:vAlign w:val="center"/>
          </w:tcPr>
          <w:p>
            <w:pPr>
              <w:widowControl/>
              <w:jc w:val="left"/>
              <w:rPr>
                <w:rFonts w:hint="eastAsia" w:ascii="Times New Roman" w:hAnsi="Times New Roman" w:eastAsia="仿宋_GB2312"/>
                <w:color w:val="000000"/>
                <w:sz w:val="18"/>
                <w:szCs w:val="18"/>
                <w:lang w:eastAsia="zh-CN"/>
              </w:rPr>
            </w:pPr>
            <w:r>
              <w:rPr>
                <w:rFonts w:hint="eastAsia" w:ascii="Times New Roman" w:hAnsi="Times New Roman" w:eastAsia="仿宋_GB2312"/>
                <w:color w:val="000000"/>
                <w:sz w:val="18"/>
                <w:szCs w:val="18"/>
                <w:lang w:val="en-US" w:eastAsia="zh-CN"/>
              </w:rPr>
              <w:t>3</w:t>
            </w:r>
          </w:p>
        </w:tc>
        <w:tc>
          <w:tcPr>
            <w:tcW w:w="1443" w:type="dxa"/>
            <w:noWrap w:val="0"/>
            <w:vAlign w:val="center"/>
          </w:tcPr>
          <w:p>
            <w:pPr>
              <w:widowControl/>
              <w:jc w:val="left"/>
              <w:rPr>
                <w:rFonts w:ascii="Times New Roman" w:hAnsi="Times New Roman"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改善纪念园红色旅游环境</w:t>
            </w:r>
          </w:p>
        </w:tc>
        <w:tc>
          <w:tcPr>
            <w:tcW w:w="1146" w:type="dxa"/>
            <w:gridSpan w:val="2"/>
            <w:noWrap w:val="0"/>
            <w:vAlign w:val="center"/>
          </w:tcPr>
          <w:p>
            <w:pPr>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改善</w:t>
            </w:r>
          </w:p>
        </w:tc>
        <w:tc>
          <w:tcPr>
            <w:tcW w:w="1202"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有效改善环境</w:t>
            </w:r>
          </w:p>
        </w:tc>
        <w:tc>
          <w:tcPr>
            <w:tcW w:w="718" w:type="dxa"/>
            <w:noWrap w:val="0"/>
            <w:vAlign w:val="center"/>
          </w:tcPr>
          <w:p>
            <w:pPr>
              <w:jc w:val="center"/>
              <w:rPr>
                <w:rFonts w:hint="eastAsia" w:ascii="Times New Roman" w:hAnsi="Times New Roman" w:eastAsia="仿宋_GB2312"/>
                <w:color w:val="000000"/>
                <w:sz w:val="18"/>
                <w:szCs w:val="18"/>
                <w:lang w:eastAsia="zh-CN"/>
              </w:rPr>
            </w:pPr>
            <w:r>
              <w:rPr>
                <w:rFonts w:hint="eastAsia" w:ascii="Times New Roman" w:hAnsi="Times New Roman" w:eastAsia="仿宋_GB2312"/>
                <w:color w:val="000000"/>
                <w:sz w:val="18"/>
                <w:szCs w:val="18"/>
                <w:lang w:val="en-US" w:eastAsia="zh-CN"/>
              </w:rPr>
              <w:t>3</w:t>
            </w:r>
          </w:p>
        </w:tc>
        <w:tc>
          <w:tcPr>
            <w:tcW w:w="884" w:type="dxa"/>
            <w:noWrap w:val="0"/>
            <w:vAlign w:val="center"/>
          </w:tcPr>
          <w:p>
            <w:pPr>
              <w:jc w:val="center"/>
              <w:rPr>
                <w:rFonts w:hint="eastAsia" w:ascii="Times New Roman" w:hAnsi="Times New Roman" w:eastAsia="仿宋_GB2312"/>
                <w:color w:val="000000"/>
                <w:sz w:val="18"/>
                <w:szCs w:val="18"/>
                <w:lang w:eastAsia="zh-CN"/>
              </w:rPr>
            </w:pPr>
            <w:r>
              <w:rPr>
                <w:rFonts w:hint="eastAsia" w:ascii="Times New Roman" w:hAnsi="Times New Roman" w:eastAsia="仿宋_GB2312"/>
                <w:color w:val="000000"/>
                <w:sz w:val="18"/>
                <w:szCs w:val="18"/>
                <w:lang w:val="en-US" w:eastAsia="zh-CN"/>
              </w:rPr>
              <w:t>2</w:t>
            </w:r>
          </w:p>
        </w:tc>
        <w:tc>
          <w:tcPr>
            <w:tcW w:w="1443"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eastAsia="仿宋" w:cs="仿宋"/>
                <w:bCs/>
                <w:color w:val="000000"/>
                <w:sz w:val="18"/>
                <w:szCs w:val="18"/>
              </w:rPr>
              <w:t>在此项工作中，还有很多地方有待进步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提高市民了红色知识情况</w:t>
            </w:r>
          </w:p>
        </w:tc>
        <w:tc>
          <w:tcPr>
            <w:tcW w:w="1146" w:type="dxa"/>
            <w:gridSpan w:val="2"/>
            <w:noWrap w:val="0"/>
            <w:vAlign w:val="center"/>
          </w:tcPr>
          <w:p>
            <w:pPr>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提高</w:t>
            </w:r>
          </w:p>
        </w:tc>
        <w:tc>
          <w:tcPr>
            <w:tcW w:w="1202"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有效提高</w:t>
            </w:r>
            <w:r>
              <w:rPr>
                <w:rFonts w:ascii="Times New Roman" w:hAnsi="Times New Roman" w:eastAsia="仿宋_GB2312"/>
                <w:color w:val="000000"/>
                <w:sz w:val="18"/>
                <w:szCs w:val="18"/>
              </w:rPr>
              <w:t>　</w:t>
            </w:r>
          </w:p>
        </w:tc>
        <w:tc>
          <w:tcPr>
            <w:tcW w:w="718" w:type="dxa"/>
            <w:noWrap w:val="0"/>
            <w:vAlign w:val="center"/>
          </w:tcPr>
          <w:p>
            <w:pPr>
              <w:ind w:firstLine="180" w:firstLineChars="100"/>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lang w:val="en-US" w:eastAsia="zh-CN"/>
              </w:rPr>
              <w:t>3</w:t>
            </w:r>
          </w:p>
        </w:tc>
        <w:tc>
          <w:tcPr>
            <w:tcW w:w="884" w:type="dxa"/>
            <w:noWrap w:val="0"/>
            <w:vAlign w:val="center"/>
          </w:tcPr>
          <w:p>
            <w:pPr>
              <w:jc w:val="left"/>
              <w:rPr>
                <w:rFonts w:hint="eastAsia" w:ascii="Times New Roman" w:hAnsi="Times New Roman" w:eastAsia="仿宋_GB2312"/>
                <w:color w:val="000000"/>
                <w:sz w:val="18"/>
                <w:szCs w:val="18"/>
                <w:lang w:eastAsia="zh-CN"/>
              </w:rPr>
            </w:pPr>
            <w:r>
              <w:rPr>
                <w:rFonts w:hint="eastAsia" w:ascii="Times New Roman" w:hAnsi="Times New Roman" w:eastAsia="仿宋_GB2312"/>
                <w:color w:val="000000"/>
                <w:sz w:val="18"/>
                <w:szCs w:val="18"/>
                <w:lang w:val="en-US" w:eastAsia="zh-CN"/>
              </w:rPr>
              <w:t>2</w:t>
            </w:r>
          </w:p>
        </w:tc>
        <w:tc>
          <w:tcPr>
            <w:tcW w:w="1443"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不断在提升，但是距离提高全市居民了解红色知识情况还有一定差距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widowControl/>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提高市民游客参观满意度</w:t>
            </w:r>
          </w:p>
        </w:tc>
        <w:tc>
          <w:tcPr>
            <w:tcW w:w="1146" w:type="dxa"/>
            <w:gridSpan w:val="2"/>
            <w:noWrap w:val="0"/>
            <w:vAlign w:val="center"/>
          </w:tcPr>
          <w:p>
            <w:pPr>
              <w:widowControl/>
              <w:jc w:val="left"/>
              <w:rPr>
                <w:rFonts w:ascii="Times New Roman" w:hAnsi="Times New Roman" w:eastAsia="仿宋_GB2312"/>
                <w:color w:val="000000"/>
                <w:sz w:val="20"/>
                <w:szCs w:val="20"/>
              </w:rPr>
            </w:pPr>
            <w:r>
              <w:rPr>
                <w:rFonts w:hint="eastAsia" w:ascii="Times New Roman" w:hAnsi="Times New Roman" w:eastAsia="仿宋_GB2312"/>
                <w:color w:val="000000"/>
                <w:sz w:val="20"/>
                <w:szCs w:val="20"/>
              </w:rPr>
              <w:t>提高</w:t>
            </w:r>
            <w:r>
              <w:rPr>
                <w:rFonts w:ascii="Times New Roman" w:hAnsi="Times New Roman" w:eastAsia="仿宋_GB2312"/>
                <w:color w:val="000000"/>
                <w:sz w:val="20"/>
                <w:szCs w:val="20"/>
              </w:rPr>
              <w:t>　</w:t>
            </w:r>
          </w:p>
        </w:tc>
        <w:tc>
          <w:tcPr>
            <w:tcW w:w="1202" w:type="dxa"/>
            <w:noWrap w:val="0"/>
            <w:vAlign w:val="center"/>
          </w:tcPr>
          <w:p>
            <w:pPr>
              <w:widowControl/>
              <w:jc w:val="left"/>
              <w:rPr>
                <w:rFonts w:ascii="Times New Roman" w:hAnsi="Times New Roman" w:eastAsia="仿宋_GB2312"/>
                <w:color w:val="000000"/>
                <w:sz w:val="20"/>
                <w:szCs w:val="20"/>
              </w:rPr>
            </w:pPr>
            <w:r>
              <w:rPr>
                <w:rFonts w:hint="eastAsia" w:ascii="Times New Roman" w:hAnsi="Times New Roman" w:eastAsia="仿宋_GB2312"/>
                <w:color w:val="000000"/>
                <w:sz w:val="20"/>
                <w:szCs w:val="20"/>
              </w:rPr>
              <w:t>提高</w:t>
            </w:r>
            <w:r>
              <w:rPr>
                <w:rFonts w:ascii="Times New Roman" w:hAnsi="Times New Roman" w:eastAsia="仿宋_GB2312"/>
                <w:color w:val="000000"/>
                <w:sz w:val="20"/>
                <w:szCs w:val="20"/>
              </w:rPr>
              <w:t>　</w:t>
            </w:r>
          </w:p>
        </w:tc>
        <w:tc>
          <w:tcPr>
            <w:tcW w:w="718" w:type="dxa"/>
            <w:noWrap w:val="0"/>
            <w:vAlign w:val="center"/>
          </w:tcPr>
          <w:p>
            <w:pPr>
              <w:widowControl/>
              <w:jc w:val="left"/>
              <w:rPr>
                <w:rFonts w:hint="eastAsia" w:ascii="Times New Roman" w:hAnsi="Times New Roman" w:eastAsia="仿宋_GB2312"/>
                <w:color w:val="000000"/>
                <w:sz w:val="20"/>
                <w:szCs w:val="20"/>
                <w:lang w:eastAsia="zh-CN"/>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lang w:val="en-US" w:eastAsia="zh-CN"/>
              </w:rPr>
              <w:t>3</w:t>
            </w:r>
          </w:p>
        </w:tc>
        <w:tc>
          <w:tcPr>
            <w:tcW w:w="884" w:type="dxa"/>
            <w:noWrap w:val="0"/>
            <w:vAlign w:val="center"/>
          </w:tcPr>
          <w:p>
            <w:pPr>
              <w:widowControl/>
              <w:jc w:val="left"/>
              <w:rPr>
                <w:rFonts w:hint="eastAsia" w:ascii="Times New Roman" w:hAnsi="Times New Roman" w:eastAsia="仿宋_GB2312"/>
                <w:color w:val="000000"/>
                <w:sz w:val="20"/>
                <w:szCs w:val="20"/>
                <w:lang w:eastAsia="zh-CN"/>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lang w:val="en-US" w:eastAsia="zh-CN"/>
              </w:rPr>
              <w:t>2</w:t>
            </w:r>
          </w:p>
        </w:tc>
        <w:tc>
          <w:tcPr>
            <w:tcW w:w="1443" w:type="dxa"/>
            <w:noWrap w:val="0"/>
            <w:vAlign w:val="center"/>
          </w:tcPr>
          <w:p>
            <w:pPr>
              <w:widowControl/>
              <w:jc w:val="left"/>
              <w:rPr>
                <w:rFonts w:ascii="Times New Roman" w:hAnsi="Times New Roman" w:eastAsia="仿宋_GB2312"/>
                <w:color w:val="000000"/>
                <w:sz w:val="20"/>
                <w:szCs w:val="20"/>
              </w:rPr>
            </w:pPr>
            <w:r>
              <w:rPr>
                <w:rFonts w:hint="eastAsia" w:ascii="Times New Roman" w:hAnsi="Times New Roman" w:eastAsia="仿宋_GB2312"/>
                <w:color w:val="000000"/>
                <w:sz w:val="18"/>
                <w:szCs w:val="18"/>
              </w:rPr>
              <w:t>还有很多方面有待提升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noWrap w:val="0"/>
            <w:vAlign w:val="center"/>
          </w:tcPr>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生态效</w:t>
            </w:r>
          </w:p>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益指标</w:t>
            </w:r>
          </w:p>
        </w:tc>
        <w:tc>
          <w:tcPr>
            <w:tcW w:w="1078" w:type="dxa"/>
            <w:noWrap w:val="0"/>
            <w:vAlign w:val="center"/>
          </w:tcPr>
          <w:p>
            <w:pPr>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不适用</w:t>
            </w:r>
          </w:p>
        </w:tc>
        <w:tc>
          <w:tcPr>
            <w:tcW w:w="1146" w:type="dxa"/>
            <w:gridSpan w:val="2"/>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w:t>
            </w:r>
          </w:p>
        </w:tc>
        <w:tc>
          <w:tcPr>
            <w:tcW w:w="1202"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w:t>
            </w:r>
          </w:p>
        </w:tc>
        <w:tc>
          <w:tcPr>
            <w:tcW w:w="718" w:type="dxa"/>
            <w:noWrap w:val="0"/>
            <w:vAlign w:val="center"/>
          </w:tcPr>
          <w:p>
            <w:pPr>
              <w:spacing w:line="24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w:t>
            </w:r>
          </w:p>
        </w:tc>
        <w:tc>
          <w:tcPr>
            <w:tcW w:w="884" w:type="dxa"/>
            <w:noWrap w:val="0"/>
            <w:vAlign w:val="center"/>
          </w:tcPr>
          <w:p>
            <w:pPr>
              <w:spacing w:line="240" w:lineRule="exact"/>
              <w:jc w:val="center"/>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w:t>
            </w:r>
          </w:p>
        </w:tc>
        <w:tc>
          <w:tcPr>
            <w:tcW w:w="1443" w:type="dxa"/>
            <w:noWrap w:val="0"/>
            <w:vAlign w:val="center"/>
          </w:tcPr>
          <w:p>
            <w:pPr>
              <w:spacing w:line="240" w:lineRule="exact"/>
              <w:jc w:val="left"/>
              <w:rPr>
                <w:rFonts w:ascii="Times New Roman" w:hAnsi="Times New Roman"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8" w:hRule="atLeast"/>
          <w:jc w:val="center"/>
        </w:trPr>
        <w:tc>
          <w:tcPr>
            <w:tcW w:w="962"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restart"/>
            <w:noWrap w:val="0"/>
            <w:vAlign w:val="center"/>
          </w:tcPr>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可持续影响指标</w:t>
            </w:r>
          </w:p>
        </w:tc>
        <w:tc>
          <w:tcPr>
            <w:tcW w:w="1078" w:type="dxa"/>
            <w:noWrap w:val="0"/>
            <w:vAlign w:val="center"/>
          </w:tcPr>
          <w:p>
            <w:pPr>
              <w:jc w:val="left"/>
              <w:rPr>
                <w:rFonts w:hint="eastAsia" w:eastAsia="仿宋" w:cs="仿宋"/>
                <w:sz w:val="20"/>
                <w:szCs w:val="20"/>
              </w:rPr>
            </w:pPr>
            <w:r>
              <w:rPr>
                <w:rFonts w:hint="eastAsia" w:eastAsia="仿宋" w:cs="仿宋"/>
                <w:sz w:val="20"/>
                <w:szCs w:val="20"/>
              </w:rPr>
              <w:t>提升红色文化主题公园影响力</w:t>
            </w:r>
          </w:p>
        </w:tc>
        <w:tc>
          <w:tcPr>
            <w:tcW w:w="1146" w:type="dxa"/>
            <w:gridSpan w:val="2"/>
            <w:noWrap w:val="0"/>
            <w:vAlign w:val="center"/>
          </w:tcPr>
          <w:p>
            <w:pPr>
              <w:jc w:val="left"/>
              <w:rPr>
                <w:rFonts w:hint="eastAsia" w:eastAsia="仿宋" w:cs="仿宋"/>
                <w:sz w:val="20"/>
                <w:szCs w:val="20"/>
              </w:rPr>
            </w:pPr>
            <w:r>
              <w:rPr>
                <w:rFonts w:eastAsia="仿宋" w:cs="仿宋"/>
                <w:sz w:val="20"/>
                <w:szCs w:val="20"/>
              </w:rPr>
              <w:t>　</w:t>
            </w:r>
            <w:r>
              <w:rPr>
                <w:rFonts w:hint="eastAsia" w:eastAsia="仿宋" w:cs="仿宋"/>
                <w:sz w:val="20"/>
                <w:szCs w:val="20"/>
              </w:rPr>
              <w:t>有效提升</w:t>
            </w:r>
          </w:p>
        </w:tc>
        <w:tc>
          <w:tcPr>
            <w:tcW w:w="1202" w:type="dxa"/>
            <w:noWrap w:val="0"/>
            <w:vAlign w:val="center"/>
          </w:tcPr>
          <w:p>
            <w:pPr>
              <w:jc w:val="left"/>
              <w:rPr>
                <w:rFonts w:hint="eastAsia" w:eastAsia="仿宋" w:cs="仿宋"/>
                <w:sz w:val="20"/>
                <w:szCs w:val="20"/>
              </w:rPr>
            </w:pPr>
            <w:r>
              <w:rPr>
                <w:rFonts w:eastAsia="仿宋" w:cs="仿宋"/>
                <w:sz w:val="20"/>
                <w:szCs w:val="20"/>
              </w:rPr>
              <w:t>　</w:t>
            </w:r>
            <w:r>
              <w:rPr>
                <w:rFonts w:hint="eastAsia" w:eastAsia="仿宋" w:cs="仿宋"/>
                <w:sz w:val="20"/>
                <w:szCs w:val="20"/>
              </w:rPr>
              <w:t>有效提升</w:t>
            </w:r>
          </w:p>
        </w:tc>
        <w:tc>
          <w:tcPr>
            <w:tcW w:w="718" w:type="dxa"/>
            <w:noWrap w:val="0"/>
            <w:vAlign w:val="center"/>
          </w:tcPr>
          <w:p>
            <w:pPr>
              <w:jc w:val="left"/>
              <w:rPr>
                <w:rFonts w:hint="default" w:eastAsia="仿宋" w:cs="仿宋"/>
                <w:sz w:val="20"/>
                <w:szCs w:val="20"/>
                <w:lang w:val="en-US" w:eastAsia="zh-CN"/>
              </w:rPr>
            </w:pPr>
            <w:r>
              <w:rPr>
                <w:rFonts w:eastAsia="仿宋" w:cs="仿宋"/>
                <w:sz w:val="20"/>
                <w:szCs w:val="20"/>
              </w:rPr>
              <w:t>　</w:t>
            </w:r>
            <w:r>
              <w:rPr>
                <w:rFonts w:hint="eastAsia" w:eastAsia="仿宋" w:cs="仿宋"/>
                <w:sz w:val="20"/>
                <w:szCs w:val="20"/>
                <w:lang w:val="en-US" w:eastAsia="zh-CN"/>
              </w:rPr>
              <w:t>2</w:t>
            </w:r>
          </w:p>
        </w:tc>
        <w:tc>
          <w:tcPr>
            <w:tcW w:w="884" w:type="dxa"/>
            <w:noWrap w:val="0"/>
            <w:vAlign w:val="center"/>
          </w:tcPr>
          <w:p>
            <w:pPr>
              <w:jc w:val="left"/>
              <w:rPr>
                <w:rFonts w:hint="eastAsia" w:eastAsia="仿宋" w:cs="仿宋"/>
                <w:sz w:val="20"/>
                <w:szCs w:val="20"/>
                <w:lang w:eastAsia="zh-CN"/>
              </w:rPr>
            </w:pPr>
            <w:r>
              <w:rPr>
                <w:rFonts w:eastAsia="仿宋" w:cs="仿宋"/>
                <w:sz w:val="20"/>
                <w:szCs w:val="20"/>
              </w:rPr>
              <w:t>　</w:t>
            </w:r>
            <w:r>
              <w:rPr>
                <w:rFonts w:hint="eastAsia" w:eastAsia="仿宋" w:cs="仿宋"/>
                <w:sz w:val="20"/>
                <w:szCs w:val="20"/>
                <w:lang w:val="en-US" w:eastAsia="zh-CN"/>
              </w:rPr>
              <w:t>2</w:t>
            </w:r>
          </w:p>
        </w:tc>
        <w:tc>
          <w:tcPr>
            <w:tcW w:w="1443" w:type="dxa"/>
            <w:noWrap w:val="0"/>
            <w:vAlign w:val="center"/>
          </w:tcPr>
          <w:p>
            <w:pPr>
              <w:spacing w:line="240" w:lineRule="exact"/>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8" w:hRule="atLeast"/>
          <w:jc w:val="center"/>
        </w:trPr>
        <w:tc>
          <w:tcPr>
            <w:tcW w:w="962"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widowControl/>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提升市民了解红色文化情况</w:t>
            </w:r>
          </w:p>
        </w:tc>
        <w:tc>
          <w:tcPr>
            <w:tcW w:w="1146" w:type="dxa"/>
            <w:gridSpan w:val="2"/>
            <w:noWrap w:val="0"/>
            <w:vAlign w:val="center"/>
          </w:tcPr>
          <w:p>
            <w:pPr>
              <w:widowControl/>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提升</w:t>
            </w:r>
            <w:r>
              <w:rPr>
                <w:rFonts w:ascii="Times New Roman" w:hAnsi="Times New Roman" w:eastAsia="仿宋_GB2312"/>
                <w:color w:val="000000"/>
                <w:sz w:val="18"/>
                <w:szCs w:val="18"/>
              </w:rPr>
              <w:t>　</w:t>
            </w:r>
          </w:p>
        </w:tc>
        <w:tc>
          <w:tcPr>
            <w:tcW w:w="1202" w:type="dxa"/>
            <w:noWrap w:val="0"/>
            <w:vAlign w:val="center"/>
          </w:tcPr>
          <w:p>
            <w:pPr>
              <w:widowControl/>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有效提升</w:t>
            </w:r>
            <w:r>
              <w:rPr>
                <w:rFonts w:ascii="Times New Roman" w:hAnsi="Times New Roman" w:eastAsia="仿宋_GB2312"/>
                <w:color w:val="000000"/>
                <w:sz w:val="18"/>
                <w:szCs w:val="18"/>
              </w:rPr>
              <w:t>　</w:t>
            </w:r>
          </w:p>
        </w:tc>
        <w:tc>
          <w:tcPr>
            <w:tcW w:w="718" w:type="dxa"/>
            <w:noWrap w:val="0"/>
            <w:vAlign w:val="center"/>
          </w:tcPr>
          <w:p>
            <w:pPr>
              <w:widowControl/>
              <w:ind w:firstLine="180" w:firstLineChars="100"/>
              <w:jc w:val="left"/>
              <w:rPr>
                <w:rFonts w:hint="eastAsia" w:ascii="Times New Roman" w:hAnsi="Times New Roman" w:eastAsia="仿宋_GB2312"/>
                <w:color w:val="000000"/>
                <w:sz w:val="18"/>
                <w:szCs w:val="18"/>
                <w:lang w:eastAsia="zh-CN"/>
              </w:rPr>
            </w:pPr>
            <w:r>
              <w:rPr>
                <w:rFonts w:hint="eastAsia" w:ascii="Times New Roman" w:hAnsi="Times New Roman" w:eastAsia="仿宋_GB2312"/>
                <w:color w:val="000000"/>
                <w:sz w:val="18"/>
                <w:szCs w:val="18"/>
                <w:lang w:val="en-US" w:eastAsia="zh-CN"/>
              </w:rPr>
              <w:t>2</w:t>
            </w:r>
          </w:p>
        </w:tc>
        <w:tc>
          <w:tcPr>
            <w:tcW w:w="884" w:type="dxa"/>
            <w:noWrap w:val="0"/>
            <w:vAlign w:val="center"/>
          </w:tcPr>
          <w:p>
            <w:pPr>
              <w:widowControl/>
              <w:jc w:val="left"/>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2</w:t>
            </w:r>
          </w:p>
        </w:tc>
        <w:tc>
          <w:tcPr>
            <w:tcW w:w="1443" w:type="dxa"/>
            <w:noWrap w:val="0"/>
            <w:vAlign w:val="center"/>
          </w:tcPr>
          <w:p>
            <w:pPr>
              <w:widowControl/>
              <w:jc w:val="left"/>
              <w:rPr>
                <w:rFonts w:hint="eastAsia" w:ascii="Times New Roman" w:hAnsi="Times New Roman" w:eastAsia="仿宋"/>
                <w:color w:val="000000"/>
                <w:sz w:val="18"/>
                <w:szCs w:val="18"/>
              </w:rPr>
            </w:pPr>
            <w:r>
              <w:rPr>
                <w:rFonts w:ascii="Times New Roman" w:hAnsi="Times New Roman" w:eastAsia="仿宋_GB2312"/>
                <w:color w:val="000000"/>
                <w:sz w:val="18"/>
                <w:szCs w:val="18"/>
              </w:rPr>
              <w:t>　</w:t>
            </w:r>
            <w:r>
              <w:rPr>
                <w:rFonts w:hint="eastAsia" w:eastAsia="仿宋" w:cs="仿宋"/>
                <w:sz w:val="16"/>
                <w:szCs w:val="16"/>
              </w:rPr>
              <w:t>不断在提升，有待进一步提升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8" w:hRule="atLeast"/>
          <w:jc w:val="center"/>
        </w:trPr>
        <w:tc>
          <w:tcPr>
            <w:tcW w:w="962"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widowControl/>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提高文物藏品量</w:t>
            </w:r>
          </w:p>
        </w:tc>
        <w:tc>
          <w:tcPr>
            <w:tcW w:w="1146" w:type="dxa"/>
            <w:gridSpan w:val="2"/>
            <w:noWrap w:val="0"/>
            <w:vAlign w:val="center"/>
          </w:tcPr>
          <w:p>
            <w:pPr>
              <w:widowControl/>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提高</w:t>
            </w:r>
          </w:p>
        </w:tc>
        <w:tc>
          <w:tcPr>
            <w:tcW w:w="1202" w:type="dxa"/>
            <w:noWrap w:val="0"/>
            <w:vAlign w:val="center"/>
          </w:tcPr>
          <w:p>
            <w:pPr>
              <w:widowControl/>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有效提高</w:t>
            </w:r>
          </w:p>
        </w:tc>
        <w:tc>
          <w:tcPr>
            <w:tcW w:w="718" w:type="dxa"/>
            <w:noWrap w:val="0"/>
            <w:vAlign w:val="center"/>
          </w:tcPr>
          <w:p>
            <w:pPr>
              <w:widowControl/>
              <w:ind w:firstLine="180" w:firstLineChars="100"/>
              <w:jc w:val="left"/>
              <w:rPr>
                <w:rFonts w:hint="eastAsia" w:ascii="Times New Roman" w:hAnsi="Times New Roman" w:eastAsia="仿宋_GB2312"/>
                <w:color w:val="000000"/>
                <w:sz w:val="18"/>
                <w:szCs w:val="18"/>
                <w:lang w:eastAsia="zh-CN"/>
              </w:rPr>
            </w:pPr>
            <w:r>
              <w:rPr>
                <w:rFonts w:hint="eastAsia" w:ascii="Times New Roman" w:hAnsi="Times New Roman" w:eastAsia="仿宋_GB2312"/>
                <w:color w:val="000000"/>
                <w:sz w:val="18"/>
                <w:szCs w:val="18"/>
                <w:lang w:val="en-US" w:eastAsia="zh-CN"/>
              </w:rPr>
              <w:t>2</w:t>
            </w:r>
          </w:p>
        </w:tc>
        <w:tc>
          <w:tcPr>
            <w:tcW w:w="884" w:type="dxa"/>
            <w:noWrap w:val="0"/>
            <w:vAlign w:val="center"/>
          </w:tcPr>
          <w:p>
            <w:pPr>
              <w:widowControl/>
              <w:jc w:val="left"/>
              <w:rPr>
                <w:rFonts w:hint="eastAsia" w:ascii="Times New Roman" w:hAnsi="Times New Roman" w:eastAsia="仿宋_GB2312"/>
                <w:color w:val="000000"/>
                <w:sz w:val="18"/>
                <w:szCs w:val="18"/>
                <w:lang w:eastAsia="zh-CN"/>
              </w:rPr>
            </w:pPr>
            <w:r>
              <w:rPr>
                <w:rFonts w:hint="eastAsia" w:ascii="Times New Roman" w:hAnsi="Times New Roman" w:eastAsia="仿宋_GB2312"/>
                <w:color w:val="000000"/>
                <w:sz w:val="18"/>
                <w:szCs w:val="18"/>
                <w:lang w:val="en-US" w:eastAsia="zh-CN"/>
              </w:rPr>
              <w:t>2</w:t>
            </w:r>
          </w:p>
        </w:tc>
        <w:tc>
          <w:tcPr>
            <w:tcW w:w="1443" w:type="dxa"/>
            <w:noWrap w:val="0"/>
            <w:vAlign w:val="center"/>
          </w:tcPr>
          <w:p>
            <w:pPr>
              <w:spacing w:line="240" w:lineRule="exact"/>
              <w:jc w:val="left"/>
              <w:rPr>
                <w:rFonts w:ascii="Times New Roman" w:hAnsi="Times New Roman"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8" w:hRule="atLeast"/>
          <w:jc w:val="center"/>
        </w:trPr>
        <w:tc>
          <w:tcPr>
            <w:tcW w:w="962"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jc w:val="left"/>
              <w:rPr>
                <w:rFonts w:hint="eastAsia" w:ascii="Times New Roman" w:hAnsi="Times New Roman" w:eastAsia="仿宋_GB2312"/>
                <w:bCs/>
                <w:color w:val="000000"/>
                <w:sz w:val="18"/>
                <w:szCs w:val="18"/>
              </w:rPr>
            </w:pPr>
            <w:r>
              <w:rPr>
                <w:rFonts w:hint="eastAsia" w:ascii="Times New Roman" w:hAnsi="Times New Roman" w:eastAsia="仿宋_GB2312"/>
                <w:bCs/>
                <w:color w:val="000000"/>
                <w:sz w:val="18"/>
                <w:szCs w:val="18"/>
              </w:rPr>
              <w:t>使红色教育代代传承</w:t>
            </w:r>
          </w:p>
        </w:tc>
        <w:tc>
          <w:tcPr>
            <w:tcW w:w="1146" w:type="dxa"/>
            <w:gridSpan w:val="2"/>
            <w:noWrap w:val="0"/>
            <w:vAlign w:val="center"/>
          </w:tcPr>
          <w:p>
            <w:pPr>
              <w:jc w:val="left"/>
              <w:rPr>
                <w:rFonts w:hint="eastAsia" w:ascii="Times New Roman" w:hAnsi="Times New Roman" w:eastAsia="仿宋_GB2312"/>
                <w:bCs/>
                <w:color w:val="000000"/>
                <w:sz w:val="18"/>
                <w:szCs w:val="18"/>
              </w:rPr>
            </w:pPr>
            <w:r>
              <w:rPr>
                <w:rFonts w:hint="eastAsia" w:ascii="Times New Roman" w:hAnsi="Times New Roman" w:eastAsia="仿宋_GB2312"/>
                <w:bCs/>
                <w:color w:val="000000"/>
                <w:sz w:val="18"/>
                <w:szCs w:val="18"/>
              </w:rPr>
              <w:t>传承</w:t>
            </w:r>
          </w:p>
        </w:tc>
        <w:tc>
          <w:tcPr>
            <w:tcW w:w="1202" w:type="dxa"/>
            <w:noWrap w:val="0"/>
            <w:vAlign w:val="center"/>
          </w:tcPr>
          <w:p>
            <w:pPr>
              <w:jc w:val="left"/>
              <w:rPr>
                <w:rFonts w:ascii="Times New Roman" w:hAnsi="Times New Roman" w:eastAsia="仿宋_GB2312"/>
                <w:bCs/>
                <w:color w:val="000000"/>
                <w:sz w:val="18"/>
                <w:szCs w:val="18"/>
              </w:rPr>
            </w:pPr>
            <w:r>
              <w:rPr>
                <w:rFonts w:hint="eastAsia" w:ascii="Times New Roman" w:hAnsi="Times New Roman" w:eastAsia="仿宋_GB2312"/>
                <w:bCs/>
                <w:color w:val="000000"/>
                <w:sz w:val="18"/>
                <w:szCs w:val="18"/>
              </w:rPr>
              <w:t>传承</w:t>
            </w:r>
          </w:p>
        </w:tc>
        <w:tc>
          <w:tcPr>
            <w:tcW w:w="718" w:type="dxa"/>
            <w:noWrap w:val="0"/>
            <w:vAlign w:val="center"/>
          </w:tcPr>
          <w:p>
            <w:pPr>
              <w:jc w:val="center"/>
              <w:rPr>
                <w:rFonts w:hint="eastAsia" w:ascii="Times New Roman" w:hAnsi="Times New Roman" w:eastAsia="仿宋_GB2312"/>
                <w:bCs/>
                <w:color w:val="000000"/>
                <w:sz w:val="18"/>
                <w:szCs w:val="18"/>
                <w:lang w:eastAsia="zh-CN"/>
              </w:rPr>
            </w:pPr>
            <w:r>
              <w:rPr>
                <w:rFonts w:hint="eastAsia" w:ascii="Times New Roman" w:hAnsi="Times New Roman" w:eastAsia="仿宋_GB2312"/>
                <w:bCs/>
                <w:color w:val="000000"/>
                <w:sz w:val="18"/>
                <w:szCs w:val="18"/>
                <w:lang w:val="en-US" w:eastAsia="zh-CN"/>
              </w:rPr>
              <w:t>2</w:t>
            </w:r>
          </w:p>
        </w:tc>
        <w:tc>
          <w:tcPr>
            <w:tcW w:w="884" w:type="dxa"/>
            <w:noWrap w:val="0"/>
            <w:vAlign w:val="center"/>
          </w:tcPr>
          <w:p>
            <w:pPr>
              <w:jc w:val="center"/>
              <w:rPr>
                <w:rFonts w:hint="eastAsia" w:ascii="Times New Roman" w:hAnsi="Times New Roman" w:eastAsia="仿宋_GB2312"/>
                <w:bCs/>
                <w:color w:val="000000"/>
                <w:sz w:val="18"/>
                <w:szCs w:val="18"/>
                <w:lang w:eastAsia="zh-CN"/>
              </w:rPr>
            </w:pPr>
            <w:r>
              <w:rPr>
                <w:rFonts w:hint="eastAsia" w:ascii="Times New Roman" w:hAnsi="Times New Roman" w:eastAsia="仿宋_GB2312"/>
                <w:bCs/>
                <w:color w:val="000000"/>
                <w:sz w:val="18"/>
                <w:szCs w:val="18"/>
                <w:lang w:val="en-US" w:eastAsia="zh-CN"/>
              </w:rPr>
              <w:t>2</w:t>
            </w:r>
          </w:p>
        </w:tc>
        <w:tc>
          <w:tcPr>
            <w:tcW w:w="1443" w:type="dxa"/>
            <w:noWrap w:val="0"/>
            <w:vAlign w:val="center"/>
          </w:tcPr>
          <w:p>
            <w:pPr>
              <w:spacing w:line="240" w:lineRule="exact"/>
              <w:jc w:val="left"/>
              <w:rPr>
                <w:rFonts w:ascii="Times New Roman" w:hAnsi="Times New Roman"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8" w:hRule="atLeast"/>
          <w:jc w:val="center"/>
        </w:trPr>
        <w:tc>
          <w:tcPr>
            <w:tcW w:w="962"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center"/>
              <w:rPr>
                <w:rFonts w:ascii="Times New Roman" w:hAnsi="Times New Roman" w:eastAsia="仿宋_GB2312"/>
                <w:color w:val="000000"/>
                <w:sz w:val="18"/>
                <w:szCs w:val="18"/>
              </w:rPr>
            </w:pPr>
          </w:p>
        </w:tc>
        <w:tc>
          <w:tcPr>
            <w:tcW w:w="1078" w:type="dxa"/>
            <w:noWrap w:val="0"/>
            <w:vAlign w:val="center"/>
          </w:tcPr>
          <w:p>
            <w:pPr>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弘扬革命历史，传承红色文化、普及红色教育</w:t>
            </w:r>
          </w:p>
        </w:tc>
        <w:tc>
          <w:tcPr>
            <w:tcW w:w="1146" w:type="dxa"/>
            <w:gridSpan w:val="2"/>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全面普及</w:t>
            </w:r>
            <w:r>
              <w:rPr>
                <w:rFonts w:ascii="Times New Roman" w:hAnsi="Times New Roman" w:eastAsia="仿宋_GB2312"/>
                <w:color w:val="000000"/>
                <w:sz w:val="18"/>
                <w:szCs w:val="18"/>
              </w:rPr>
              <w:t>　</w:t>
            </w:r>
          </w:p>
        </w:tc>
        <w:tc>
          <w:tcPr>
            <w:tcW w:w="1202"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普及</w:t>
            </w:r>
            <w:r>
              <w:rPr>
                <w:rFonts w:ascii="Times New Roman" w:hAnsi="Times New Roman" w:eastAsia="仿宋_GB2312"/>
                <w:color w:val="000000"/>
                <w:sz w:val="18"/>
                <w:szCs w:val="18"/>
              </w:rPr>
              <w:t>　</w:t>
            </w:r>
          </w:p>
        </w:tc>
        <w:tc>
          <w:tcPr>
            <w:tcW w:w="718" w:type="dxa"/>
            <w:noWrap w:val="0"/>
            <w:vAlign w:val="center"/>
          </w:tcPr>
          <w:p>
            <w:pPr>
              <w:ind w:firstLine="180" w:firstLineChars="100"/>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lang w:val="en-US" w:eastAsia="zh-CN"/>
              </w:rPr>
              <w:t>2</w:t>
            </w:r>
            <w:r>
              <w:rPr>
                <w:rFonts w:ascii="Times New Roman" w:hAnsi="Times New Roman" w:eastAsia="仿宋_GB2312"/>
                <w:color w:val="000000"/>
                <w:sz w:val="18"/>
                <w:szCs w:val="18"/>
              </w:rPr>
              <w:t>　</w:t>
            </w:r>
          </w:p>
        </w:tc>
        <w:tc>
          <w:tcPr>
            <w:tcW w:w="884" w:type="dxa"/>
            <w:noWrap w:val="0"/>
            <w:vAlign w:val="center"/>
          </w:tcPr>
          <w:p>
            <w:pPr>
              <w:ind w:firstLine="180" w:firstLineChars="100"/>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lang w:val="en-US" w:eastAsia="zh-CN"/>
              </w:rPr>
              <w:t>1</w:t>
            </w:r>
            <w:r>
              <w:rPr>
                <w:rFonts w:ascii="Times New Roman" w:hAnsi="Times New Roman" w:eastAsia="仿宋_GB2312"/>
                <w:color w:val="000000"/>
                <w:sz w:val="18"/>
                <w:szCs w:val="18"/>
              </w:rPr>
              <w:t>　</w:t>
            </w:r>
          </w:p>
        </w:tc>
        <w:tc>
          <w:tcPr>
            <w:tcW w:w="1443"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 xml:space="preserve">不断在普及红色教育，但是还存在进一步的空间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77"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30"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1078" w:type="dxa"/>
            <w:noWrap w:val="0"/>
            <w:vAlign w:val="center"/>
          </w:tcPr>
          <w:p>
            <w:pPr>
              <w:widowControl/>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提高爱教基地影响力</w:t>
            </w:r>
          </w:p>
        </w:tc>
        <w:tc>
          <w:tcPr>
            <w:tcW w:w="1146" w:type="dxa"/>
            <w:gridSpan w:val="2"/>
            <w:noWrap w:val="0"/>
            <w:vAlign w:val="center"/>
          </w:tcPr>
          <w:p>
            <w:pPr>
              <w:widowControl/>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提高</w:t>
            </w:r>
          </w:p>
        </w:tc>
        <w:tc>
          <w:tcPr>
            <w:tcW w:w="1202" w:type="dxa"/>
            <w:noWrap w:val="0"/>
            <w:vAlign w:val="center"/>
          </w:tcPr>
          <w:p>
            <w:pPr>
              <w:widowControl/>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有效提高</w:t>
            </w:r>
          </w:p>
        </w:tc>
        <w:tc>
          <w:tcPr>
            <w:tcW w:w="718" w:type="dxa"/>
            <w:noWrap w:val="0"/>
            <w:vAlign w:val="center"/>
          </w:tcPr>
          <w:p>
            <w:pPr>
              <w:widowControl/>
              <w:jc w:val="left"/>
              <w:rPr>
                <w:rFonts w:hint="eastAsia" w:ascii="Times New Roman" w:hAnsi="Times New Roman" w:eastAsia="仿宋_GB2312"/>
                <w:color w:val="000000"/>
                <w:sz w:val="20"/>
                <w:szCs w:val="20"/>
                <w:lang w:eastAsia="zh-CN"/>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lang w:val="en-US" w:eastAsia="zh-CN"/>
              </w:rPr>
              <w:t>2</w:t>
            </w:r>
          </w:p>
        </w:tc>
        <w:tc>
          <w:tcPr>
            <w:tcW w:w="884" w:type="dxa"/>
            <w:noWrap w:val="0"/>
            <w:vAlign w:val="center"/>
          </w:tcPr>
          <w:p>
            <w:pPr>
              <w:widowControl/>
              <w:jc w:val="left"/>
              <w:rPr>
                <w:rFonts w:hint="eastAsia" w:ascii="Times New Roman" w:hAnsi="Times New Roman" w:eastAsia="仿宋_GB2312"/>
                <w:color w:val="000000"/>
                <w:sz w:val="20"/>
                <w:szCs w:val="20"/>
                <w:lang w:eastAsia="zh-CN"/>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lang w:val="en-US" w:eastAsia="zh-CN"/>
              </w:rPr>
              <w:t>2</w:t>
            </w:r>
          </w:p>
        </w:tc>
        <w:tc>
          <w:tcPr>
            <w:tcW w:w="1443" w:type="dxa"/>
            <w:noWrap w:val="0"/>
            <w:vAlign w:val="center"/>
          </w:tcPr>
          <w:p>
            <w:pPr>
              <w:widowControl/>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9" w:hRule="atLeast"/>
          <w:jc w:val="center"/>
        </w:trPr>
        <w:tc>
          <w:tcPr>
            <w:tcW w:w="962" w:type="dxa"/>
            <w:vMerge w:val="continue"/>
            <w:noWrap w:val="0"/>
            <w:vAlign w:val="center"/>
          </w:tcPr>
          <w:p>
            <w:pPr>
              <w:spacing w:line="240" w:lineRule="exact"/>
              <w:jc w:val="left"/>
              <w:rPr>
                <w:rFonts w:ascii="Times New Roman" w:hAnsi="Times New Roman" w:eastAsia="仿宋_GB2312"/>
                <w:color w:val="000000"/>
                <w:sz w:val="18"/>
                <w:szCs w:val="18"/>
              </w:rPr>
            </w:pPr>
          </w:p>
        </w:tc>
        <w:tc>
          <w:tcPr>
            <w:tcW w:w="948" w:type="dxa"/>
            <w:noWrap w:val="0"/>
            <w:vAlign w:val="center"/>
          </w:tcPr>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满意度</w:t>
            </w:r>
          </w:p>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指标</w:t>
            </w:r>
          </w:p>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（10分）</w:t>
            </w:r>
          </w:p>
        </w:tc>
        <w:tc>
          <w:tcPr>
            <w:tcW w:w="930" w:type="dxa"/>
            <w:noWrap w:val="0"/>
            <w:vAlign w:val="center"/>
          </w:tcPr>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服务对象满意度指标</w:t>
            </w:r>
          </w:p>
        </w:tc>
        <w:tc>
          <w:tcPr>
            <w:tcW w:w="1078" w:type="dxa"/>
            <w:noWrap w:val="0"/>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lang w:bidi="ar"/>
              </w:rPr>
              <w:t>群众满意度</w:t>
            </w:r>
          </w:p>
        </w:tc>
        <w:tc>
          <w:tcPr>
            <w:tcW w:w="1146" w:type="dxa"/>
            <w:gridSpan w:val="2"/>
            <w:noWrap w:val="0"/>
            <w:vAlign w:val="center"/>
          </w:tcPr>
          <w:p>
            <w:pPr>
              <w:widowControl/>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98%</w:t>
            </w:r>
          </w:p>
        </w:tc>
        <w:tc>
          <w:tcPr>
            <w:tcW w:w="1202" w:type="dxa"/>
            <w:noWrap w:val="0"/>
            <w:vAlign w:val="center"/>
          </w:tcPr>
          <w:p>
            <w:pPr>
              <w:widowControl/>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95%</w:t>
            </w:r>
            <w:r>
              <w:rPr>
                <w:rFonts w:ascii="Times New Roman" w:hAnsi="Times New Roman" w:eastAsia="仿宋_GB2312"/>
                <w:color w:val="000000"/>
                <w:sz w:val="18"/>
                <w:szCs w:val="18"/>
              </w:rPr>
              <w:t>　</w:t>
            </w:r>
          </w:p>
        </w:tc>
        <w:tc>
          <w:tcPr>
            <w:tcW w:w="718" w:type="dxa"/>
            <w:noWrap w:val="0"/>
            <w:vAlign w:val="center"/>
          </w:tcPr>
          <w:p>
            <w:pPr>
              <w:spacing w:line="24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10</w:t>
            </w:r>
          </w:p>
        </w:tc>
        <w:tc>
          <w:tcPr>
            <w:tcW w:w="884" w:type="dxa"/>
            <w:noWrap w:val="0"/>
            <w:vAlign w:val="center"/>
          </w:tcPr>
          <w:p>
            <w:pPr>
              <w:spacing w:line="24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10</w:t>
            </w:r>
          </w:p>
        </w:tc>
        <w:tc>
          <w:tcPr>
            <w:tcW w:w="1443" w:type="dxa"/>
            <w:noWrap w:val="0"/>
            <w:vAlign w:val="center"/>
          </w:tcPr>
          <w:p>
            <w:pPr>
              <w:spacing w:line="240" w:lineRule="exact"/>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在不断的改善，有待提高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77" w:hRule="atLeast"/>
          <w:jc w:val="center"/>
        </w:trPr>
        <w:tc>
          <w:tcPr>
            <w:tcW w:w="6266" w:type="dxa"/>
            <w:gridSpan w:val="7"/>
            <w:noWrap w:val="0"/>
            <w:vAlign w:val="center"/>
          </w:tcPr>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总分</w:t>
            </w:r>
          </w:p>
        </w:tc>
        <w:tc>
          <w:tcPr>
            <w:tcW w:w="718" w:type="dxa"/>
            <w:noWrap w:val="0"/>
            <w:vAlign w:val="center"/>
          </w:tcPr>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100</w:t>
            </w:r>
          </w:p>
        </w:tc>
        <w:tc>
          <w:tcPr>
            <w:tcW w:w="884" w:type="dxa"/>
            <w:noWrap w:val="0"/>
            <w:vAlign w:val="center"/>
          </w:tcPr>
          <w:p>
            <w:pPr>
              <w:spacing w:line="240" w:lineRule="exact"/>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 xml:space="preserve"> 94</w:t>
            </w:r>
          </w:p>
        </w:tc>
        <w:tc>
          <w:tcPr>
            <w:tcW w:w="1443" w:type="dxa"/>
            <w:noWrap w:val="0"/>
            <w:vAlign w:val="center"/>
          </w:tcPr>
          <w:p>
            <w:pPr>
              <w:spacing w:line="240" w:lineRule="exact"/>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bl>
    <w:p>
      <w:pPr>
        <w:spacing w:line="600" w:lineRule="exact"/>
        <w:jc w:val="left"/>
        <w:rPr>
          <w:rFonts w:ascii="Times New Roman" w:hAnsi="Times New Roman" w:eastAsia="黑体"/>
          <w:color w:val="000000"/>
          <w:sz w:val="32"/>
          <w:szCs w:val="32"/>
        </w:rPr>
      </w:pPr>
      <w:r>
        <w:rPr>
          <w:rFonts w:ascii="Times New Roman" w:hAnsi="Times New Roman" w:eastAsia="仿宋_GB2312"/>
          <w:sz w:val="22"/>
        </w:rPr>
        <w:t>填表人：</w:t>
      </w:r>
      <w:r>
        <w:rPr>
          <w:rFonts w:hint="eastAsia" w:ascii="Times New Roman" w:hAnsi="Times New Roman" w:eastAsia="仿宋_GB2312"/>
          <w:sz w:val="22"/>
        </w:rPr>
        <w:t>刘青</w:t>
      </w:r>
      <w:r>
        <w:rPr>
          <w:rFonts w:ascii="Times New Roman" w:hAnsi="Times New Roman" w:eastAsia="仿宋_GB2312"/>
          <w:sz w:val="22"/>
        </w:rPr>
        <w:t xml:space="preserve">  填报日期：</w:t>
      </w:r>
      <w:r>
        <w:rPr>
          <w:rFonts w:hint="eastAsia" w:ascii="Times New Roman" w:hAnsi="Times New Roman" w:eastAsia="仿宋_GB2312"/>
          <w:sz w:val="22"/>
        </w:rPr>
        <w:t>2022年4月16日</w:t>
      </w:r>
      <w:r>
        <w:rPr>
          <w:rFonts w:ascii="Times New Roman" w:hAnsi="Times New Roman" w:eastAsia="仿宋_GB2312"/>
          <w:sz w:val="22"/>
        </w:rPr>
        <w:t xml:space="preserve"> 联系电话： </w:t>
      </w:r>
      <w:r>
        <w:rPr>
          <w:rFonts w:hint="eastAsia" w:ascii="Times New Roman" w:hAnsi="Times New Roman" w:eastAsia="仿宋_GB2312"/>
          <w:sz w:val="22"/>
        </w:rPr>
        <w:t>13873563276</w:t>
      </w:r>
      <w:r>
        <w:rPr>
          <w:rFonts w:ascii="Times New Roman" w:hAnsi="Times New Roman" w:eastAsia="仿宋_GB2312"/>
          <w:sz w:val="22"/>
        </w:rPr>
        <w:t xml:space="preserve">  单位负责人签字：</w:t>
      </w:r>
      <w:r>
        <w:rPr>
          <w:rFonts w:ascii="Times New Roman" w:hAnsi="Times New Roman" w:eastAsia="仿宋_GB2312"/>
          <w:sz w:val="22"/>
          <w:szCs w:val="22"/>
        </w:rPr>
        <w:br w:type="page"/>
      </w:r>
      <w:r>
        <w:rPr>
          <w:rFonts w:ascii="Times New Roman" w:hAnsi="Times New Roman" w:eastAsia="黑体"/>
          <w:color w:val="000000"/>
          <w:sz w:val="32"/>
          <w:szCs w:val="32"/>
        </w:rPr>
        <w:t>附件4</w:t>
      </w:r>
    </w:p>
    <w:p>
      <w:pPr>
        <w:jc w:val="left"/>
        <w:rPr>
          <w:rFonts w:ascii="Times New Roman" w:hAnsi="Times New Roman"/>
          <w:bCs/>
          <w:sz w:val="32"/>
          <w:szCs w:val="32"/>
        </w:rPr>
      </w:pPr>
    </w:p>
    <w:p>
      <w:pPr>
        <w:spacing w:after="120" w:afterLines="50" w:line="600" w:lineRule="exact"/>
        <w:jc w:val="center"/>
        <w:rPr>
          <w:rFonts w:ascii="方正小标宋简体" w:hAnsi="Times New Roman" w:eastAsia="方正小标宋简体"/>
          <w:szCs w:val="28"/>
        </w:rPr>
      </w:pPr>
      <w:r>
        <w:rPr>
          <w:rFonts w:ascii="方正小标宋简体" w:hAnsi="Times New Roman" w:eastAsia="方正小标宋简体"/>
          <w:szCs w:val="28"/>
        </w:rPr>
        <w:t>2021年度项目支出绩效自评报告</w:t>
      </w:r>
    </w:p>
    <w:tbl>
      <w:tblPr>
        <w:tblStyle w:val="7"/>
        <w:tblpPr w:leftFromText="180" w:rightFromText="180" w:vertAnchor="text" w:horzAnchor="margin" w:tblpXSpec="center" w:tblpY="189"/>
        <w:tblW w:w="916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57"/>
        <w:gridCol w:w="1972"/>
        <w:gridCol w:w="56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1557" w:type="dxa"/>
            <w:vMerge w:val="restart"/>
            <w:noWrap w:val="0"/>
            <w:vAlign w:val="center"/>
          </w:tcPr>
          <w:p>
            <w:pPr>
              <w:spacing w:line="576" w:lineRule="exact"/>
              <w:jc w:val="center"/>
              <w:rPr>
                <w:rFonts w:ascii="Times New Roman" w:hAnsi="Times New Roman" w:eastAsia="仿宋_GB2312"/>
                <w:sz w:val="20"/>
                <w:szCs w:val="20"/>
              </w:rPr>
            </w:pPr>
            <w:r>
              <w:rPr>
                <w:rFonts w:ascii="Times New Roman" w:hAnsi="Times New Roman" w:eastAsia="仿宋_GB2312"/>
                <w:sz w:val="20"/>
                <w:szCs w:val="20"/>
              </w:rPr>
              <w:t>部门概况</w:t>
            </w:r>
          </w:p>
        </w:tc>
        <w:tc>
          <w:tcPr>
            <w:tcW w:w="1972" w:type="dxa"/>
            <w:noWrap w:val="0"/>
            <w:vAlign w:val="center"/>
          </w:tcPr>
          <w:p>
            <w:pPr>
              <w:spacing w:line="576" w:lineRule="exact"/>
              <w:jc w:val="center"/>
              <w:rPr>
                <w:rFonts w:ascii="Times New Roman" w:hAnsi="Times New Roman" w:eastAsia="仿宋_GB2312"/>
                <w:sz w:val="20"/>
                <w:szCs w:val="20"/>
              </w:rPr>
            </w:pPr>
            <w:r>
              <w:rPr>
                <w:rFonts w:ascii="Times New Roman" w:hAnsi="Times New Roman" w:eastAsia="仿宋_GB2312"/>
                <w:sz w:val="20"/>
                <w:szCs w:val="20"/>
              </w:rPr>
              <w:t>专项名称</w:t>
            </w:r>
          </w:p>
        </w:tc>
        <w:tc>
          <w:tcPr>
            <w:tcW w:w="5633" w:type="dxa"/>
            <w:noWrap w:val="0"/>
            <w:vAlign w:val="center"/>
          </w:tcPr>
          <w:p>
            <w:pPr>
              <w:spacing w:line="576" w:lineRule="exact"/>
              <w:ind w:right="-136" w:rightChars="-65"/>
              <w:jc w:val="left"/>
              <w:rPr>
                <w:rFonts w:hint="eastAsia" w:ascii="Times New Roman" w:hAnsi="Times New Roman"/>
                <w:sz w:val="20"/>
                <w:szCs w:val="20"/>
              </w:rPr>
            </w:pPr>
            <w:r>
              <w:rPr>
                <w:rFonts w:hint="eastAsia" w:ascii="Times New Roman" w:hAnsi="Times New Roman"/>
                <w:sz w:val="20"/>
                <w:szCs w:val="20"/>
              </w:rPr>
              <w:t xml:space="preserve">             运行维护经费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9" w:hRule="atLeast"/>
        </w:trPr>
        <w:tc>
          <w:tcPr>
            <w:tcW w:w="1557" w:type="dxa"/>
            <w:vMerge w:val="continue"/>
            <w:noWrap w:val="0"/>
            <w:vAlign w:val="top"/>
          </w:tcPr>
          <w:p>
            <w:pPr>
              <w:rPr>
                <w:rFonts w:ascii="Times New Roman" w:hAnsi="Times New Roman" w:eastAsia="仿宋_GB2312"/>
                <w:sz w:val="20"/>
                <w:szCs w:val="20"/>
              </w:rPr>
            </w:pPr>
          </w:p>
        </w:tc>
        <w:tc>
          <w:tcPr>
            <w:tcW w:w="1972" w:type="dxa"/>
            <w:noWrap w:val="0"/>
            <w:vAlign w:val="center"/>
          </w:tcPr>
          <w:p>
            <w:pPr>
              <w:spacing w:line="576" w:lineRule="exact"/>
              <w:jc w:val="center"/>
              <w:rPr>
                <w:rFonts w:ascii="Times New Roman" w:hAnsi="Times New Roman" w:eastAsia="仿宋_GB2312"/>
                <w:sz w:val="20"/>
                <w:szCs w:val="20"/>
              </w:rPr>
            </w:pPr>
            <w:r>
              <w:rPr>
                <w:rFonts w:ascii="Times New Roman" w:hAnsi="Times New Roman" w:eastAsia="仿宋_GB2312"/>
                <w:sz w:val="20"/>
                <w:szCs w:val="20"/>
              </w:rPr>
              <w:t>年度预算金额</w:t>
            </w:r>
          </w:p>
        </w:tc>
        <w:tc>
          <w:tcPr>
            <w:tcW w:w="5633" w:type="dxa"/>
            <w:noWrap w:val="0"/>
            <w:vAlign w:val="center"/>
          </w:tcPr>
          <w:p>
            <w:pPr>
              <w:spacing w:line="576" w:lineRule="exact"/>
              <w:ind w:right="879" w:rightChars="419"/>
              <w:jc w:val="center"/>
              <w:rPr>
                <w:rFonts w:ascii="Times New Roman" w:hAnsi="Times New Roman"/>
                <w:sz w:val="20"/>
                <w:szCs w:val="20"/>
              </w:rPr>
            </w:pPr>
            <w:r>
              <w:rPr>
                <w:rFonts w:hint="eastAsia" w:ascii="Times New Roman" w:hAnsi="Times New Roman"/>
                <w:sz w:val="20"/>
                <w:szCs w:val="20"/>
              </w:rPr>
              <w:t>626.21万元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1557" w:type="dxa"/>
            <w:vMerge w:val="continue"/>
            <w:noWrap w:val="0"/>
            <w:vAlign w:val="top"/>
          </w:tcPr>
          <w:p>
            <w:pPr>
              <w:rPr>
                <w:rFonts w:ascii="Times New Roman" w:hAnsi="Times New Roman" w:eastAsia="仿宋_GB2312"/>
                <w:sz w:val="20"/>
                <w:szCs w:val="20"/>
              </w:rPr>
            </w:pPr>
          </w:p>
        </w:tc>
        <w:tc>
          <w:tcPr>
            <w:tcW w:w="1972" w:type="dxa"/>
            <w:noWrap w:val="0"/>
            <w:vAlign w:val="center"/>
          </w:tcPr>
          <w:p>
            <w:pPr>
              <w:spacing w:line="576" w:lineRule="exact"/>
              <w:jc w:val="center"/>
              <w:rPr>
                <w:rFonts w:ascii="Times New Roman" w:hAnsi="Times New Roman" w:eastAsia="仿宋_GB2312"/>
                <w:sz w:val="20"/>
                <w:szCs w:val="20"/>
              </w:rPr>
            </w:pPr>
            <w:r>
              <w:rPr>
                <w:rFonts w:ascii="Times New Roman" w:hAnsi="Times New Roman" w:eastAsia="仿宋_GB2312"/>
                <w:sz w:val="20"/>
                <w:szCs w:val="20"/>
              </w:rPr>
              <w:t>项目主管部门</w:t>
            </w:r>
          </w:p>
        </w:tc>
        <w:tc>
          <w:tcPr>
            <w:tcW w:w="5633" w:type="dxa"/>
            <w:noWrap w:val="0"/>
            <w:vAlign w:val="center"/>
          </w:tcPr>
          <w:p>
            <w:pPr>
              <w:spacing w:line="576" w:lineRule="exact"/>
              <w:ind w:right="879" w:rightChars="419"/>
              <w:jc w:val="center"/>
              <w:rPr>
                <w:rFonts w:hint="eastAsia" w:ascii="Times New Roman" w:hAnsi="Times New Roman"/>
                <w:sz w:val="20"/>
                <w:szCs w:val="20"/>
              </w:rPr>
            </w:pPr>
            <w:r>
              <w:rPr>
                <w:rFonts w:hint="eastAsia" w:ascii="Times New Roman" w:hAnsi="Times New Roman"/>
                <w:sz w:val="20"/>
                <w:szCs w:val="20"/>
              </w:rPr>
              <w:t>郴州市文化旅游广电体育局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1" w:hRule="atLeast"/>
        </w:trPr>
        <w:tc>
          <w:tcPr>
            <w:tcW w:w="1557" w:type="dxa"/>
            <w:vMerge w:val="continue"/>
            <w:noWrap w:val="0"/>
            <w:vAlign w:val="top"/>
          </w:tcPr>
          <w:p>
            <w:pPr>
              <w:rPr>
                <w:rFonts w:ascii="Times New Roman" w:hAnsi="Times New Roman" w:eastAsia="仿宋_GB2312"/>
                <w:sz w:val="20"/>
                <w:szCs w:val="20"/>
              </w:rPr>
            </w:pPr>
          </w:p>
        </w:tc>
        <w:tc>
          <w:tcPr>
            <w:tcW w:w="1972" w:type="dxa"/>
            <w:noWrap w:val="0"/>
            <w:vAlign w:val="center"/>
          </w:tcPr>
          <w:p>
            <w:pPr>
              <w:spacing w:line="576" w:lineRule="exact"/>
              <w:jc w:val="center"/>
              <w:rPr>
                <w:rFonts w:ascii="Times New Roman" w:hAnsi="Times New Roman" w:eastAsia="仿宋_GB2312"/>
                <w:sz w:val="20"/>
                <w:szCs w:val="20"/>
              </w:rPr>
            </w:pPr>
            <w:r>
              <w:rPr>
                <w:rFonts w:ascii="Times New Roman" w:hAnsi="Times New Roman" w:eastAsia="仿宋_GB2312"/>
                <w:sz w:val="20"/>
                <w:szCs w:val="20"/>
              </w:rPr>
              <w:t>项目立项目的</w:t>
            </w:r>
          </w:p>
        </w:tc>
        <w:tc>
          <w:tcPr>
            <w:tcW w:w="5633" w:type="dxa"/>
            <w:noWrap w:val="0"/>
            <w:vAlign w:val="center"/>
          </w:tcPr>
          <w:p>
            <w:pPr>
              <w:ind w:right="71" w:rightChars="34" w:firstLine="400" w:firstLineChars="200"/>
              <w:rPr>
                <w:rFonts w:ascii="Times New Roman" w:hAnsi="Times New Roman"/>
                <w:sz w:val="20"/>
                <w:szCs w:val="20"/>
              </w:rPr>
            </w:pPr>
            <w:r>
              <w:rPr>
                <w:rFonts w:hint="eastAsia" w:eastAsia="仿宋" w:cs="仿宋"/>
                <w:sz w:val="20"/>
                <w:szCs w:val="20"/>
              </w:rPr>
              <w:t>根据郴办发〔2019〕52号、中宣发〔2008〕2号 、中央办公厅  国务院办公厅 中央军委办公厅〔2014〕49号的规定，做好专类公园纪念性公园的管护，确保纪念馆、党史陈列馆运行及免费开放，确保对国家重点文物保护单位郴县苏维埃政府旧址（陈家大屋）的保护、确保清明.祭英烈及9.30国家公祭日活动成功举办的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557" w:type="dxa"/>
            <w:vMerge w:val="restart"/>
            <w:noWrap w:val="0"/>
            <w:vAlign w:val="center"/>
          </w:tcPr>
          <w:p>
            <w:pPr>
              <w:spacing w:line="576" w:lineRule="exact"/>
              <w:jc w:val="center"/>
              <w:rPr>
                <w:rFonts w:ascii="Times New Roman" w:hAnsi="Times New Roman" w:eastAsia="仿宋_GB2312"/>
                <w:sz w:val="20"/>
                <w:szCs w:val="20"/>
              </w:rPr>
            </w:pPr>
            <w:r>
              <w:rPr>
                <w:rFonts w:ascii="Times New Roman" w:hAnsi="Times New Roman" w:eastAsia="仿宋_GB2312"/>
                <w:sz w:val="20"/>
                <w:szCs w:val="20"/>
              </w:rPr>
              <w:t>绩效情况</w:t>
            </w:r>
          </w:p>
        </w:tc>
        <w:tc>
          <w:tcPr>
            <w:tcW w:w="1972" w:type="dxa"/>
            <w:noWrap w:val="0"/>
            <w:vAlign w:val="center"/>
          </w:tcPr>
          <w:p>
            <w:pPr>
              <w:spacing w:line="576" w:lineRule="exact"/>
              <w:jc w:val="center"/>
              <w:rPr>
                <w:rFonts w:ascii="Times New Roman" w:hAnsi="Times New Roman" w:eastAsia="仿宋_GB2312"/>
                <w:sz w:val="20"/>
                <w:szCs w:val="20"/>
              </w:rPr>
            </w:pPr>
            <w:r>
              <w:rPr>
                <w:rFonts w:ascii="Times New Roman" w:hAnsi="Times New Roman" w:eastAsia="仿宋_GB2312"/>
                <w:sz w:val="20"/>
                <w:szCs w:val="20"/>
              </w:rPr>
              <w:t>项目支出管理和使用基本情况</w:t>
            </w:r>
          </w:p>
        </w:tc>
        <w:tc>
          <w:tcPr>
            <w:tcW w:w="5633" w:type="dxa"/>
            <w:noWrap w:val="0"/>
            <w:vAlign w:val="center"/>
          </w:tcPr>
          <w:p>
            <w:pPr>
              <w:rPr>
                <w:rFonts w:hint="eastAsia" w:eastAsia="仿宋" w:cs="仿宋"/>
                <w:color w:val="000000"/>
                <w:sz w:val="20"/>
                <w:szCs w:val="20"/>
              </w:rPr>
            </w:pPr>
            <w:r>
              <w:rPr>
                <w:rFonts w:hint="eastAsia" w:eastAsia="仿宋" w:cs="仿宋"/>
                <w:sz w:val="20"/>
                <w:szCs w:val="20"/>
              </w:rPr>
              <w:t>1、按计划、按进度申报资金；</w:t>
            </w:r>
          </w:p>
          <w:p>
            <w:pPr>
              <w:rPr>
                <w:rFonts w:hint="eastAsia" w:eastAsia="仿宋" w:cs="仿宋"/>
                <w:sz w:val="20"/>
                <w:szCs w:val="20"/>
              </w:rPr>
            </w:pPr>
            <w:r>
              <w:rPr>
                <w:rFonts w:hint="eastAsia" w:eastAsia="仿宋" w:cs="仿宋"/>
                <w:sz w:val="20"/>
                <w:szCs w:val="20"/>
              </w:rPr>
              <w:t>2、按项目预算设定的用途使用；</w:t>
            </w:r>
          </w:p>
          <w:p>
            <w:pPr>
              <w:rPr>
                <w:rFonts w:hint="eastAsia" w:eastAsia="仿宋" w:cs="仿宋"/>
                <w:sz w:val="20"/>
                <w:szCs w:val="20"/>
              </w:rPr>
            </w:pPr>
            <w:r>
              <w:rPr>
                <w:rFonts w:hint="eastAsia" w:eastAsia="仿宋" w:cs="仿宋"/>
                <w:sz w:val="20"/>
                <w:szCs w:val="20"/>
              </w:rPr>
              <w:t>3、年初预算539万元，年中追加87.21万元（其中市级资金6万元，中省资金43.89万元，非税收入14.67万元，其他收入22.65万元），本年支出603.56万元。</w:t>
            </w:r>
          </w:p>
          <w:p>
            <w:pPr>
              <w:rPr>
                <w:rFonts w:hint="eastAsia" w:eastAsia="仿宋" w:cs="仿宋"/>
                <w:sz w:val="20"/>
                <w:szCs w:val="20"/>
              </w:rPr>
            </w:pPr>
            <w:r>
              <w:rPr>
                <w:rFonts w:hint="eastAsia" w:eastAsia="仿宋" w:cs="仿宋"/>
                <w:sz w:val="20"/>
                <w:szCs w:val="20"/>
              </w:rPr>
              <w:t>该资金主要用于</w:t>
            </w:r>
          </w:p>
          <w:p>
            <w:pPr>
              <w:rPr>
                <w:rFonts w:hint="eastAsia" w:eastAsia="仿宋" w:cs="仿宋"/>
                <w:sz w:val="20"/>
                <w:szCs w:val="20"/>
                <w:lang w:val="zh-CN"/>
              </w:rPr>
            </w:pPr>
            <w:r>
              <w:rPr>
                <w:rFonts w:hint="eastAsia" w:eastAsia="仿宋" w:cs="仿宋"/>
                <w:sz w:val="20"/>
                <w:szCs w:val="20"/>
                <w:lang w:val="zh-CN"/>
              </w:rPr>
              <w:t>（1）湘南起义纪念馆、地方党史陈列馆场馆运行及馆内设施与维护支出</w:t>
            </w:r>
            <w:r>
              <w:rPr>
                <w:rFonts w:hint="eastAsia" w:eastAsia="仿宋" w:cs="仿宋"/>
                <w:sz w:val="20"/>
                <w:szCs w:val="20"/>
              </w:rPr>
              <w:t>158.56</w:t>
            </w:r>
            <w:r>
              <w:rPr>
                <w:rFonts w:hint="eastAsia" w:eastAsia="仿宋" w:cs="仿宋"/>
                <w:sz w:val="20"/>
                <w:szCs w:val="20"/>
                <w:lang w:val="zh-CN"/>
              </w:rPr>
              <w:t>万元。</w:t>
            </w:r>
          </w:p>
          <w:p>
            <w:pPr>
              <w:rPr>
                <w:rFonts w:hint="eastAsia" w:eastAsia="仿宋" w:cs="仿宋"/>
                <w:sz w:val="20"/>
                <w:szCs w:val="20"/>
                <w:lang w:val="zh-CN"/>
              </w:rPr>
            </w:pPr>
            <w:r>
              <w:rPr>
                <w:rFonts w:hint="eastAsia" w:eastAsia="仿宋" w:cs="仿宋"/>
                <w:sz w:val="20"/>
                <w:szCs w:val="20"/>
                <w:lang w:val="zh-CN"/>
              </w:rPr>
              <w:t>（2）烈士公园纪念设施、基础设施、森林防火、园林绿化管护、安保、卫生保洁等运维支出</w:t>
            </w:r>
            <w:r>
              <w:rPr>
                <w:rFonts w:hint="eastAsia" w:eastAsia="仿宋" w:cs="仿宋"/>
                <w:sz w:val="20"/>
                <w:szCs w:val="20"/>
              </w:rPr>
              <w:t>393</w:t>
            </w:r>
            <w:r>
              <w:rPr>
                <w:rFonts w:hint="eastAsia" w:eastAsia="仿宋" w:cs="仿宋"/>
                <w:sz w:val="20"/>
                <w:szCs w:val="20"/>
                <w:lang w:val="zh-CN"/>
              </w:rPr>
              <w:t>万元。</w:t>
            </w:r>
          </w:p>
          <w:p>
            <w:pPr>
              <w:rPr>
                <w:rFonts w:hint="eastAsia" w:eastAsia="仿宋" w:cs="仿宋"/>
                <w:sz w:val="20"/>
                <w:szCs w:val="20"/>
                <w:lang w:val="zh-CN"/>
              </w:rPr>
            </w:pPr>
            <w:r>
              <w:rPr>
                <w:rFonts w:hint="eastAsia" w:eastAsia="仿宋" w:cs="仿宋"/>
                <w:sz w:val="20"/>
                <w:szCs w:val="20"/>
                <w:lang w:val="zh-CN"/>
              </w:rPr>
              <w:t>（3）郴县苏维埃政府旧址-陈家大屋保护支付临聘讲解人员工资福利、私房部分房屋租赁费和税金、安保及卫生等运维支出42万元。</w:t>
            </w:r>
          </w:p>
          <w:p>
            <w:pPr>
              <w:rPr>
                <w:rFonts w:ascii="Times New Roman" w:hAnsi="Times New Roman"/>
                <w:sz w:val="20"/>
                <w:szCs w:val="20"/>
              </w:rPr>
            </w:pPr>
            <w:r>
              <w:rPr>
                <w:rFonts w:hint="eastAsia" w:eastAsia="仿宋" w:cs="仿宋"/>
                <w:sz w:val="20"/>
                <w:szCs w:val="20"/>
                <w:lang w:val="zh-CN"/>
              </w:rPr>
              <w:t>（4）举办清明.祭英烈及9.30国家公祭日纪念活动经费支出10万元。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62" w:hRule="atLeast"/>
        </w:trPr>
        <w:tc>
          <w:tcPr>
            <w:tcW w:w="1557" w:type="dxa"/>
            <w:vMerge w:val="continue"/>
            <w:noWrap w:val="0"/>
            <w:vAlign w:val="top"/>
          </w:tcPr>
          <w:p>
            <w:pPr>
              <w:rPr>
                <w:rFonts w:ascii="Times New Roman" w:hAnsi="Times New Roman" w:eastAsia="仿宋_GB2312"/>
                <w:sz w:val="20"/>
                <w:szCs w:val="20"/>
              </w:rPr>
            </w:pPr>
          </w:p>
        </w:tc>
        <w:tc>
          <w:tcPr>
            <w:tcW w:w="1972" w:type="dxa"/>
            <w:noWrap w:val="0"/>
            <w:vAlign w:val="center"/>
          </w:tcPr>
          <w:p>
            <w:pPr>
              <w:spacing w:line="576" w:lineRule="exact"/>
              <w:jc w:val="center"/>
              <w:rPr>
                <w:rFonts w:ascii="Times New Roman" w:hAnsi="Times New Roman" w:eastAsia="仿宋_GB2312"/>
                <w:sz w:val="20"/>
                <w:szCs w:val="20"/>
              </w:rPr>
            </w:pPr>
            <w:r>
              <w:rPr>
                <w:rFonts w:ascii="Times New Roman" w:hAnsi="Times New Roman" w:eastAsia="仿宋_GB2312"/>
                <w:sz w:val="20"/>
                <w:szCs w:val="20"/>
              </w:rPr>
              <w:t>项目绩效目标完成情况</w:t>
            </w:r>
          </w:p>
        </w:tc>
        <w:tc>
          <w:tcPr>
            <w:tcW w:w="5633" w:type="dxa"/>
            <w:noWrap w:val="0"/>
            <w:vAlign w:val="top"/>
          </w:tcPr>
          <w:p>
            <w:pPr>
              <w:rPr>
                <w:rFonts w:hint="eastAsia" w:eastAsia="仿宋" w:cs="仿宋"/>
                <w:sz w:val="20"/>
                <w:szCs w:val="20"/>
                <w:highlight w:val="none"/>
              </w:rPr>
            </w:pPr>
            <w:r>
              <w:rPr>
                <w:rFonts w:hint="eastAsia" w:eastAsia="仿宋" w:cs="仿宋"/>
                <w:sz w:val="20"/>
                <w:szCs w:val="20"/>
              </w:rPr>
              <w:t>1、按照专题公园管护标准对园区各项设施进行有效管理，包括塔</w:t>
            </w:r>
            <w:r>
              <w:rPr>
                <w:rFonts w:hint="eastAsia" w:eastAsia="仿宋" w:cs="仿宋"/>
                <w:sz w:val="20"/>
                <w:szCs w:val="20"/>
                <w:highlight w:val="none"/>
              </w:rPr>
              <w:t>、碑、亭、长廊、踏步、游道、道路、路灯、广场、公厕等基础设施和纪念设施维护，森林防火、园林绿化管护、安保、卫生保洁等运维支出；全年新增绿化面积5200㎡，完成夏明震烈士纪念碑周边环境整治并恢复周边绿化工作，使园区面貌焕然一新。</w:t>
            </w:r>
          </w:p>
          <w:p>
            <w:pPr>
              <w:rPr>
                <w:rFonts w:hint="eastAsia" w:eastAsia="仿宋" w:cs="仿宋"/>
                <w:sz w:val="20"/>
                <w:szCs w:val="20"/>
                <w:highlight w:val="none"/>
              </w:rPr>
            </w:pPr>
            <w:r>
              <w:rPr>
                <w:rFonts w:hint="eastAsia" w:eastAsia="仿宋" w:cs="仿宋"/>
                <w:sz w:val="20"/>
                <w:szCs w:val="20"/>
                <w:highlight w:val="none"/>
              </w:rPr>
              <w:t>2按照免费开馆要求，有效保障纪念馆、党史陈列馆及郴县苏维埃政府旧址（陈家大屋）馆内设施正常运行，按时支付旧址私房部分租赁费和税金以及场馆临聘讲解、安保人员工资、社保缴费。</w:t>
            </w:r>
          </w:p>
          <w:p>
            <w:pPr>
              <w:rPr>
                <w:rFonts w:hint="eastAsia" w:eastAsia="仿宋" w:cs="仿宋"/>
                <w:sz w:val="20"/>
                <w:szCs w:val="20"/>
                <w:highlight w:val="none"/>
              </w:rPr>
            </w:pPr>
            <w:r>
              <w:rPr>
                <w:rFonts w:hint="eastAsia" w:eastAsia="仿宋" w:cs="仿宋"/>
                <w:sz w:val="20"/>
                <w:szCs w:val="20"/>
                <w:highlight w:val="none"/>
              </w:rPr>
              <w:t>广泛开展对外宣传，展示爱教基地公共文化服务职能，全年共接待团队游客700余批次，开展各种红色文化传承教育活动百余场次，讲解1000余场次；</w:t>
            </w:r>
          </w:p>
          <w:p>
            <w:pPr>
              <w:rPr>
                <w:rFonts w:hint="eastAsia" w:eastAsia="仿宋" w:cs="仿宋"/>
                <w:sz w:val="20"/>
                <w:szCs w:val="20"/>
                <w:highlight w:val="none"/>
              </w:rPr>
            </w:pPr>
            <w:r>
              <w:rPr>
                <w:rFonts w:hint="eastAsia" w:eastAsia="仿宋" w:cs="仿宋"/>
                <w:sz w:val="20"/>
                <w:szCs w:val="20"/>
                <w:highlight w:val="none"/>
              </w:rPr>
              <w:t>如期举办清明.祭英烈及9.30国家公祭日活动，铭记英烈，让红色教育代代传承，带动红色旅游发展。</w:t>
            </w:r>
          </w:p>
          <w:p>
            <w:pPr>
              <w:rPr>
                <w:rFonts w:hint="eastAsia" w:eastAsia="仿宋" w:cs="仿宋"/>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557" w:type="dxa"/>
            <w:vMerge w:val="restart"/>
            <w:noWrap w:val="0"/>
            <w:vAlign w:val="center"/>
          </w:tcPr>
          <w:p>
            <w:pPr>
              <w:spacing w:line="576" w:lineRule="exact"/>
              <w:jc w:val="center"/>
              <w:rPr>
                <w:rFonts w:ascii="Times New Roman" w:hAnsi="Times New Roman" w:eastAsia="仿宋_GB2312"/>
                <w:sz w:val="20"/>
                <w:szCs w:val="20"/>
              </w:rPr>
            </w:pPr>
            <w:r>
              <w:rPr>
                <w:rFonts w:ascii="Times New Roman" w:hAnsi="Times New Roman" w:eastAsia="仿宋_GB2312"/>
                <w:sz w:val="20"/>
                <w:szCs w:val="20"/>
              </w:rPr>
              <w:t>存在的问题分析及改进措施</w:t>
            </w:r>
          </w:p>
        </w:tc>
        <w:tc>
          <w:tcPr>
            <w:tcW w:w="1972" w:type="dxa"/>
            <w:noWrap w:val="0"/>
            <w:vAlign w:val="center"/>
          </w:tcPr>
          <w:p>
            <w:pPr>
              <w:spacing w:line="576" w:lineRule="exact"/>
              <w:jc w:val="center"/>
              <w:rPr>
                <w:rFonts w:ascii="Times New Roman" w:hAnsi="Times New Roman" w:eastAsia="仿宋_GB2312"/>
                <w:sz w:val="20"/>
                <w:szCs w:val="20"/>
              </w:rPr>
            </w:pPr>
            <w:r>
              <w:rPr>
                <w:rFonts w:ascii="Times New Roman" w:hAnsi="Times New Roman" w:eastAsia="仿宋_GB2312"/>
                <w:sz w:val="20"/>
                <w:szCs w:val="20"/>
              </w:rPr>
              <w:t>存在的问题</w:t>
            </w:r>
          </w:p>
        </w:tc>
        <w:tc>
          <w:tcPr>
            <w:tcW w:w="5633" w:type="dxa"/>
            <w:noWrap w:val="0"/>
            <w:vAlign w:val="center"/>
          </w:tcPr>
          <w:p>
            <w:pPr>
              <w:ind w:right="879" w:rightChars="419"/>
              <w:rPr>
                <w:rFonts w:hint="eastAsia" w:ascii="Times New Roman" w:hAnsi="Times New Roman"/>
                <w:sz w:val="20"/>
                <w:szCs w:val="20"/>
              </w:rPr>
            </w:pPr>
            <w:r>
              <w:rPr>
                <w:rFonts w:hint="eastAsia" w:eastAsia="仿宋" w:cs="仿宋"/>
                <w:sz w:val="20"/>
                <w:szCs w:val="20"/>
              </w:rPr>
              <w:t>由于疫情影响，游客接待人数同比往年下降。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7" w:hRule="atLeast"/>
        </w:trPr>
        <w:tc>
          <w:tcPr>
            <w:tcW w:w="1557" w:type="dxa"/>
            <w:vMerge w:val="continue"/>
            <w:noWrap w:val="0"/>
            <w:vAlign w:val="top"/>
          </w:tcPr>
          <w:p>
            <w:pPr>
              <w:rPr>
                <w:rFonts w:ascii="Times New Roman" w:hAnsi="Times New Roman" w:eastAsia="仿宋_GB2312"/>
                <w:sz w:val="20"/>
                <w:szCs w:val="20"/>
              </w:rPr>
            </w:pPr>
          </w:p>
        </w:tc>
        <w:tc>
          <w:tcPr>
            <w:tcW w:w="1972" w:type="dxa"/>
            <w:noWrap w:val="0"/>
            <w:vAlign w:val="center"/>
          </w:tcPr>
          <w:p>
            <w:pPr>
              <w:spacing w:line="576" w:lineRule="exact"/>
              <w:jc w:val="center"/>
              <w:rPr>
                <w:rFonts w:ascii="Times New Roman" w:hAnsi="Times New Roman" w:eastAsia="仿宋_GB2312"/>
                <w:sz w:val="20"/>
                <w:szCs w:val="20"/>
              </w:rPr>
            </w:pPr>
            <w:r>
              <w:rPr>
                <w:rFonts w:ascii="Times New Roman" w:hAnsi="Times New Roman" w:eastAsia="仿宋_GB2312"/>
                <w:sz w:val="20"/>
                <w:szCs w:val="20"/>
              </w:rPr>
              <w:t>改进措施</w:t>
            </w:r>
          </w:p>
        </w:tc>
        <w:tc>
          <w:tcPr>
            <w:tcW w:w="5633" w:type="dxa"/>
            <w:noWrap w:val="0"/>
            <w:vAlign w:val="center"/>
          </w:tcPr>
          <w:p>
            <w:pPr>
              <w:ind w:right="879" w:rightChars="419"/>
              <w:rPr>
                <w:rFonts w:ascii="Times New Roman" w:hAnsi="Times New Roman"/>
                <w:sz w:val="20"/>
                <w:szCs w:val="20"/>
              </w:rPr>
            </w:pPr>
            <w:r>
              <w:rPr>
                <w:rFonts w:hint="eastAsia" w:eastAsia="仿宋" w:cs="仿宋"/>
                <w:sz w:val="20"/>
                <w:szCs w:val="20"/>
              </w:rPr>
              <w:t>在做好疫情防控的前提下，进一步提高服务质量，更好为广大市民游客提供服务，带动我市红色旅游发展。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6" w:hRule="atLeast"/>
        </w:trPr>
        <w:tc>
          <w:tcPr>
            <w:tcW w:w="1557" w:type="dxa"/>
            <w:vMerge w:val="continue"/>
            <w:noWrap w:val="0"/>
            <w:vAlign w:val="top"/>
          </w:tcPr>
          <w:p>
            <w:pPr>
              <w:rPr>
                <w:rFonts w:ascii="Times New Roman" w:hAnsi="Times New Roman" w:eastAsia="仿宋_GB2312"/>
                <w:sz w:val="20"/>
                <w:szCs w:val="20"/>
              </w:rPr>
            </w:pPr>
          </w:p>
        </w:tc>
        <w:tc>
          <w:tcPr>
            <w:tcW w:w="1972" w:type="dxa"/>
            <w:noWrap w:val="0"/>
            <w:vAlign w:val="center"/>
          </w:tcPr>
          <w:p>
            <w:pPr>
              <w:spacing w:line="576" w:lineRule="exact"/>
              <w:jc w:val="center"/>
              <w:rPr>
                <w:rFonts w:ascii="Times New Roman" w:hAnsi="Times New Roman" w:eastAsia="仿宋_GB2312"/>
                <w:sz w:val="20"/>
                <w:szCs w:val="20"/>
              </w:rPr>
            </w:pPr>
            <w:r>
              <w:rPr>
                <w:rFonts w:ascii="Times New Roman" w:hAnsi="Times New Roman" w:eastAsia="仿宋_GB2312"/>
                <w:sz w:val="20"/>
                <w:szCs w:val="20"/>
              </w:rPr>
              <w:t>其他需要说明问题</w:t>
            </w:r>
          </w:p>
        </w:tc>
        <w:tc>
          <w:tcPr>
            <w:tcW w:w="5633" w:type="dxa"/>
            <w:noWrap w:val="0"/>
            <w:vAlign w:val="center"/>
          </w:tcPr>
          <w:p>
            <w:pPr>
              <w:ind w:right="879" w:rightChars="419"/>
              <w:rPr>
                <w:rFonts w:hint="eastAsia" w:ascii="Times New Roman" w:hAnsi="Times New Roman"/>
                <w:sz w:val="20"/>
                <w:szCs w:val="20"/>
              </w:rPr>
            </w:pPr>
            <w:r>
              <w:rPr>
                <w:rFonts w:hint="eastAsia" w:eastAsia="仿宋" w:cs="仿宋"/>
                <w:sz w:val="20"/>
                <w:szCs w:val="20"/>
              </w:rPr>
              <w:t>无</w:t>
            </w:r>
          </w:p>
        </w:tc>
      </w:tr>
    </w:tbl>
    <w:p>
      <w:pPr>
        <w:jc w:val="left"/>
        <w:rPr>
          <w:rFonts w:ascii="Times New Roman" w:hAnsi="Times New Roman" w:eastAsia="仿宋_GB2312"/>
          <w:sz w:val="18"/>
          <w:szCs w:val="18"/>
        </w:rPr>
      </w:pPr>
      <w:r>
        <w:rPr>
          <w:rFonts w:ascii="Times New Roman" w:hAnsi="Times New Roman" w:eastAsia="仿宋_GB2312"/>
          <w:sz w:val="18"/>
          <w:szCs w:val="18"/>
        </w:rPr>
        <w:t>备注：每个项目支出分别填报自评报告和自评表。</w:t>
      </w:r>
    </w:p>
    <w:p>
      <w:pPr>
        <w:spacing w:line="600" w:lineRule="exact"/>
        <w:jc w:val="left"/>
        <w:rPr>
          <w:rFonts w:hint="eastAsia" w:ascii="Times New Roman" w:hAnsi="Times New Roman" w:eastAsia="黑体"/>
          <w:sz w:val="32"/>
          <w:szCs w:val="32"/>
        </w:rPr>
      </w:pPr>
      <w:r>
        <w:rPr>
          <w:rFonts w:ascii="Times New Roman" w:hAnsi="Times New Roman" w:eastAsia="仿宋_GB2312"/>
          <w:sz w:val="22"/>
        </w:rPr>
        <w:t>填表人：</w:t>
      </w:r>
      <w:r>
        <w:rPr>
          <w:rFonts w:hint="eastAsia" w:ascii="Times New Roman" w:hAnsi="Times New Roman" w:eastAsia="仿宋_GB2312"/>
          <w:sz w:val="22"/>
        </w:rPr>
        <w:t>刘青</w:t>
      </w:r>
      <w:r>
        <w:rPr>
          <w:rFonts w:ascii="Times New Roman" w:hAnsi="Times New Roman" w:eastAsia="仿宋_GB2312"/>
          <w:sz w:val="22"/>
        </w:rPr>
        <w:t xml:space="preserve">  填报日期：</w:t>
      </w:r>
      <w:r>
        <w:rPr>
          <w:rFonts w:hint="eastAsia" w:ascii="Times New Roman" w:hAnsi="Times New Roman" w:eastAsia="仿宋_GB2312"/>
          <w:sz w:val="22"/>
        </w:rPr>
        <w:t>2022年4月16日</w:t>
      </w:r>
      <w:r>
        <w:rPr>
          <w:rFonts w:ascii="Times New Roman" w:hAnsi="Times New Roman" w:eastAsia="仿宋_GB2312"/>
          <w:sz w:val="22"/>
        </w:rPr>
        <w:t xml:space="preserve"> 联系电话： </w:t>
      </w:r>
      <w:r>
        <w:rPr>
          <w:rFonts w:hint="eastAsia" w:ascii="Times New Roman" w:hAnsi="Times New Roman" w:eastAsia="仿宋_GB2312"/>
          <w:sz w:val="22"/>
        </w:rPr>
        <w:t>13873563276</w:t>
      </w:r>
      <w:r>
        <w:rPr>
          <w:rFonts w:ascii="Times New Roman" w:hAnsi="Times New Roman" w:eastAsia="仿宋_GB2312"/>
          <w:sz w:val="22"/>
        </w:rPr>
        <w:t xml:space="preserve">  单位负责人签字：</w:t>
      </w:r>
    </w:p>
    <w:p>
      <w:pPr>
        <w:spacing w:line="600" w:lineRule="exact"/>
        <w:jc w:val="left"/>
        <w:rPr>
          <w:rFonts w:hint="eastAsia" w:ascii="Times New Roman" w:hAnsi="Times New Roman" w:eastAsia="黑体"/>
          <w:sz w:val="32"/>
          <w:szCs w:val="32"/>
        </w:rPr>
      </w:pPr>
    </w:p>
    <w:p>
      <w:pPr>
        <w:spacing w:line="600" w:lineRule="exact"/>
        <w:jc w:val="left"/>
        <w:rPr>
          <w:rFonts w:hint="eastAsia" w:ascii="Times New Roman" w:hAnsi="Times New Roman" w:eastAsia="黑体"/>
          <w:sz w:val="32"/>
          <w:szCs w:val="32"/>
        </w:rPr>
      </w:pPr>
    </w:p>
    <w:p>
      <w:pPr>
        <w:spacing w:line="600" w:lineRule="exact"/>
        <w:jc w:val="left"/>
        <w:rPr>
          <w:rFonts w:hint="eastAsia" w:ascii="Times New Roman" w:hAnsi="Times New Roman" w:eastAsia="黑体"/>
          <w:sz w:val="32"/>
          <w:szCs w:val="32"/>
        </w:rPr>
      </w:pPr>
    </w:p>
    <w:p>
      <w:pPr>
        <w:spacing w:line="600" w:lineRule="exact"/>
        <w:jc w:val="left"/>
        <w:rPr>
          <w:rFonts w:hint="eastAsia" w:ascii="Times New Roman" w:hAnsi="Times New Roman" w:eastAsia="黑体"/>
          <w:sz w:val="32"/>
          <w:szCs w:val="32"/>
        </w:rPr>
      </w:pPr>
    </w:p>
    <w:p>
      <w:pPr>
        <w:spacing w:line="600" w:lineRule="exact"/>
        <w:jc w:val="left"/>
        <w:rPr>
          <w:rFonts w:hint="eastAsia" w:ascii="Times New Roman" w:hAnsi="Times New Roman" w:eastAsia="黑体"/>
          <w:sz w:val="32"/>
          <w:szCs w:val="32"/>
        </w:rPr>
      </w:pPr>
    </w:p>
    <w:p>
      <w:pPr>
        <w:spacing w:line="600" w:lineRule="exact"/>
        <w:jc w:val="left"/>
        <w:rPr>
          <w:rFonts w:hint="eastAsia" w:ascii="Times New Roman" w:hAnsi="Times New Roman" w:eastAsia="黑体"/>
          <w:sz w:val="32"/>
          <w:szCs w:val="32"/>
        </w:rPr>
      </w:pPr>
    </w:p>
    <w:p>
      <w:pPr>
        <w:spacing w:line="600" w:lineRule="exact"/>
        <w:jc w:val="left"/>
        <w:rPr>
          <w:rFonts w:hint="eastAsia" w:ascii="Times New Roman" w:hAnsi="Times New Roman" w:eastAsia="黑体"/>
          <w:sz w:val="32"/>
          <w:szCs w:val="32"/>
        </w:rPr>
      </w:pPr>
    </w:p>
    <w:p>
      <w:pPr>
        <w:spacing w:line="600" w:lineRule="exact"/>
        <w:jc w:val="left"/>
        <w:rPr>
          <w:rFonts w:hint="eastAsia" w:ascii="Times New Roman" w:hAnsi="Times New Roman" w:eastAsia="黑体"/>
          <w:sz w:val="32"/>
          <w:szCs w:val="32"/>
        </w:rPr>
      </w:pPr>
    </w:p>
    <w:p>
      <w:pPr>
        <w:spacing w:line="600" w:lineRule="exact"/>
        <w:jc w:val="left"/>
        <w:rPr>
          <w:rFonts w:hint="eastAsia" w:ascii="Times New Roman" w:hAnsi="Times New Roman" w:eastAsia="黑体"/>
          <w:sz w:val="32"/>
          <w:szCs w:val="32"/>
        </w:rPr>
      </w:pPr>
    </w:p>
    <w:p>
      <w:pPr>
        <w:spacing w:line="600" w:lineRule="exact"/>
        <w:jc w:val="left"/>
        <w:rPr>
          <w:rFonts w:hint="eastAsia" w:ascii="Times New Roman" w:hAnsi="Times New Roman" w:eastAsia="黑体"/>
          <w:sz w:val="32"/>
          <w:szCs w:val="32"/>
        </w:rPr>
      </w:pPr>
    </w:p>
    <w:p>
      <w:pPr>
        <w:spacing w:line="600" w:lineRule="exact"/>
        <w:jc w:val="left"/>
        <w:rPr>
          <w:rFonts w:hint="eastAsia" w:ascii="Times New Roman" w:hAnsi="Times New Roman" w:eastAsia="黑体"/>
          <w:sz w:val="32"/>
          <w:szCs w:val="32"/>
        </w:rPr>
      </w:pPr>
    </w:p>
    <w:p>
      <w:pPr>
        <w:spacing w:line="600" w:lineRule="exact"/>
        <w:jc w:val="left"/>
        <w:rPr>
          <w:rFonts w:hint="eastAsia" w:ascii="Times New Roman" w:hAnsi="Times New Roman" w:eastAsia="黑体"/>
          <w:sz w:val="32"/>
          <w:szCs w:val="32"/>
        </w:rPr>
      </w:pPr>
    </w:p>
    <w:p>
      <w:pPr>
        <w:spacing w:line="600" w:lineRule="exact"/>
        <w:jc w:val="left"/>
        <w:rPr>
          <w:rFonts w:hint="eastAsia" w:ascii="Times New Roman" w:hAnsi="Times New Roman" w:eastAsia="黑体"/>
          <w:sz w:val="32"/>
          <w:szCs w:val="32"/>
        </w:rPr>
      </w:pPr>
    </w:p>
    <w:p>
      <w:pPr>
        <w:spacing w:line="600" w:lineRule="exact"/>
        <w:jc w:val="left"/>
        <w:rPr>
          <w:rFonts w:hint="eastAsia" w:ascii="Times New Roman" w:hAnsi="Times New Roman" w:eastAsia="黑体"/>
          <w:sz w:val="32"/>
          <w:szCs w:val="32"/>
        </w:rPr>
      </w:pPr>
    </w:p>
    <w:p>
      <w:pPr>
        <w:spacing w:line="600" w:lineRule="exact"/>
        <w:jc w:val="left"/>
        <w:rPr>
          <w:rFonts w:hint="eastAsia" w:ascii="Times New Roman" w:hAnsi="Times New Roman" w:eastAsia="黑体"/>
          <w:sz w:val="32"/>
          <w:szCs w:val="32"/>
        </w:rPr>
      </w:pPr>
    </w:p>
    <w:p>
      <w:pPr>
        <w:spacing w:line="600" w:lineRule="exact"/>
        <w:jc w:val="left"/>
        <w:rPr>
          <w:rFonts w:hint="eastAsia" w:ascii="Times New Roman" w:hAnsi="Times New Roman" w:eastAsia="黑体"/>
          <w:sz w:val="32"/>
          <w:szCs w:val="32"/>
        </w:rPr>
      </w:pPr>
    </w:p>
    <w:p>
      <w:pPr>
        <w:spacing w:line="600" w:lineRule="exact"/>
        <w:jc w:val="left"/>
        <w:rPr>
          <w:rFonts w:hint="eastAsia" w:ascii="Times New Roman" w:hAnsi="Times New Roman" w:eastAsia="黑体"/>
          <w:sz w:val="32"/>
          <w:szCs w:val="32"/>
        </w:rPr>
      </w:pPr>
    </w:p>
    <w:p>
      <w:pPr>
        <w:spacing w:line="600" w:lineRule="exact"/>
        <w:jc w:val="left"/>
        <w:rPr>
          <w:rFonts w:ascii="Times New Roman" w:hAnsi="Times New Roman" w:eastAsia="黑体"/>
          <w:sz w:val="32"/>
          <w:szCs w:val="32"/>
        </w:rPr>
      </w:pPr>
      <w:r>
        <w:rPr>
          <w:rFonts w:ascii="Times New Roman" w:hAnsi="Times New Roman" w:eastAsia="黑体"/>
          <w:sz w:val="32"/>
          <w:szCs w:val="32"/>
        </w:rPr>
        <w:t>附件5</w:t>
      </w:r>
    </w:p>
    <w:p>
      <w:pPr>
        <w:spacing w:after="120" w:afterLines="50" w:line="600" w:lineRule="exact"/>
        <w:jc w:val="center"/>
        <w:rPr>
          <w:rFonts w:ascii="方正小标宋简体" w:hAnsi="Times New Roman" w:eastAsia="方正小标宋简体"/>
          <w:sz w:val="44"/>
          <w:szCs w:val="44"/>
        </w:rPr>
      </w:pPr>
      <w:r>
        <w:rPr>
          <w:rFonts w:ascii="方正小标宋简体" w:hAnsi="Times New Roman" w:eastAsia="方正小标宋简体"/>
          <w:sz w:val="44"/>
          <w:szCs w:val="44"/>
        </w:rPr>
        <w:t>2021年度项目支出绩效自评表</w:t>
      </w:r>
    </w:p>
    <w:tbl>
      <w:tblPr>
        <w:tblStyle w:val="7"/>
        <w:tblW w:w="945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921"/>
        <w:gridCol w:w="1085"/>
        <w:gridCol w:w="1085"/>
        <w:gridCol w:w="1230"/>
        <w:gridCol w:w="1140"/>
        <w:gridCol w:w="1140"/>
        <w:gridCol w:w="832"/>
        <w:gridCol w:w="877"/>
        <w:gridCol w:w="11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1" w:hRule="atLeast"/>
          <w:jc w:val="center"/>
        </w:trPr>
        <w:tc>
          <w:tcPr>
            <w:tcW w:w="921" w:type="dxa"/>
            <w:noWrap w:val="0"/>
            <w:vAlign w:val="center"/>
          </w:tcPr>
          <w:p>
            <w:pPr>
              <w:spacing w:line="260" w:lineRule="exact"/>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项目支</w:t>
            </w:r>
          </w:p>
          <w:p>
            <w:pPr>
              <w:spacing w:line="260" w:lineRule="exact"/>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出名称</w:t>
            </w:r>
          </w:p>
        </w:tc>
        <w:tc>
          <w:tcPr>
            <w:tcW w:w="8535" w:type="dxa"/>
            <w:gridSpan w:val="8"/>
            <w:noWrap w:val="0"/>
            <w:vAlign w:val="center"/>
          </w:tcPr>
          <w:p>
            <w:pPr>
              <w:jc w:val="center"/>
              <w:rPr>
                <w:rFonts w:ascii="Times New Roman" w:hAnsi="Times New Roman" w:eastAsia="仿宋_GB2312"/>
                <w:color w:val="000000"/>
                <w:sz w:val="20"/>
                <w:szCs w:val="20"/>
              </w:rPr>
            </w:pPr>
            <w:r>
              <w:rPr>
                <w:rFonts w:hint="eastAsia" w:ascii="Times New Roman" w:hAnsi="Times New Roman" w:eastAsia="仿宋_GB2312"/>
                <w:color w:val="000000"/>
                <w:sz w:val="20"/>
                <w:szCs w:val="20"/>
              </w:rPr>
              <w:t>运行维护经费</w:t>
            </w:r>
            <w:r>
              <w:rPr>
                <w:rFonts w:ascii="Times New Roman"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8" w:hRule="atLeast"/>
          <w:jc w:val="center"/>
        </w:trPr>
        <w:tc>
          <w:tcPr>
            <w:tcW w:w="921" w:type="dxa"/>
            <w:noWrap w:val="0"/>
            <w:vAlign w:val="center"/>
          </w:tcPr>
          <w:p>
            <w:pPr>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主管部门</w:t>
            </w:r>
          </w:p>
        </w:tc>
        <w:tc>
          <w:tcPr>
            <w:tcW w:w="4540" w:type="dxa"/>
            <w:gridSpan w:val="4"/>
            <w:noWrap w:val="0"/>
            <w:vAlign w:val="center"/>
          </w:tcPr>
          <w:p>
            <w:pPr>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sz w:val="20"/>
                <w:szCs w:val="20"/>
              </w:rPr>
              <w:t>郴州市文化旅游广电体育局</w:t>
            </w:r>
          </w:p>
        </w:tc>
        <w:tc>
          <w:tcPr>
            <w:tcW w:w="1140" w:type="dxa"/>
            <w:noWrap w:val="0"/>
            <w:vAlign w:val="center"/>
          </w:tcPr>
          <w:p>
            <w:pPr>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实施单位</w:t>
            </w:r>
          </w:p>
        </w:tc>
        <w:tc>
          <w:tcPr>
            <w:tcW w:w="2855" w:type="dxa"/>
            <w:gridSpan w:val="3"/>
            <w:noWrap w:val="0"/>
            <w:vAlign w:val="center"/>
          </w:tcPr>
          <w:p>
            <w:pPr>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郴州市烈士公园（湘南起义纪念馆）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1" w:hRule="atLeast"/>
          <w:jc w:val="center"/>
        </w:trPr>
        <w:tc>
          <w:tcPr>
            <w:tcW w:w="921" w:type="dxa"/>
            <w:vMerge w:val="restart"/>
            <w:noWrap w:val="0"/>
            <w:vAlign w:val="center"/>
          </w:tcPr>
          <w:p>
            <w:pPr>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项目资金</w:t>
            </w:r>
          </w:p>
          <w:p>
            <w:pPr>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（万元）</w:t>
            </w:r>
          </w:p>
        </w:tc>
        <w:tc>
          <w:tcPr>
            <w:tcW w:w="2170" w:type="dxa"/>
            <w:gridSpan w:val="2"/>
            <w:noWrap w:val="0"/>
            <w:vAlign w:val="center"/>
          </w:tcPr>
          <w:p>
            <w:pPr>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p>
        </w:tc>
        <w:tc>
          <w:tcPr>
            <w:tcW w:w="1230" w:type="dxa"/>
            <w:noWrap w:val="0"/>
            <w:vAlign w:val="center"/>
          </w:tcPr>
          <w:p>
            <w:pPr>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年初</w:t>
            </w:r>
          </w:p>
          <w:p>
            <w:pPr>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预算数</w:t>
            </w:r>
          </w:p>
        </w:tc>
        <w:tc>
          <w:tcPr>
            <w:tcW w:w="1140" w:type="dxa"/>
            <w:noWrap w:val="0"/>
            <w:vAlign w:val="center"/>
          </w:tcPr>
          <w:p>
            <w:pPr>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全年</w:t>
            </w:r>
          </w:p>
          <w:p>
            <w:pPr>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预算数</w:t>
            </w:r>
          </w:p>
        </w:tc>
        <w:tc>
          <w:tcPr>
            <w:tcW w:w="1140" w:type="dxa"/>
            <w:noWrap w:val="0"/>
            <w:vAlign w:val="center"/>
          </w:tcPr>
          <w:p>
            <w:pPr>
              <w:jc w:val="center"/>
              <w:rPr>
                <w:rFonts w:ascii="Times New Roman" w:hAnsi="Times New Roman" w:eastAsia="仿宋_GB2312"/>
                <w:sz w:val="20"/>
                <w:szCs w:val="20"/>
              </w:rPr>
            </w:pPr>
            <w:r>
              <w:rPr>
                <w:rFonts w:ascii="Times New Roman" w:hAnsi="Times New Roman" w:eastAsia="仿宋_GB2312"/>
                <w:sz w:val="20"/>
                <w:szCs w:val="20"/>
              </w:rPr>
              <w:t>全年</w:t>
            </w:r>
          </w:p>
          <w:p>
            <w:pPr>
              <w:jc w:val="center"/>
              <w:rPr>
                <w:rFonts w:ascii="Times New Roman" w:hAnsi="Times New Roman" w:eastAsia="仿宋_GB2312"/>
                <w:sz w:val="20"/>
                <w:szCs w:val="20"/>
              </w:rPr>
            </w:pPr>
            <w:r>
              <w:rPr>
                <w:rFonts w:ascii="Times New Roman" w:hAnsi="Times New Roman" w:eastAsia="仿宋_GB2312"/>
                <w:sz w:val="20"/>
                <w:szCs w:val="20"/>
              </w:rPr>
              <w:t>执行数</w:t>
            </w:r>
          </w:p>
        </w:tc>
        <w:tc>
          <w:tcPr>
            <w:tcW w:w="832" w:type="dxa"/>
            <w:noWrap w:val="0"/>
            <w:vAlign w:val="center"/>
          </w:tcPr>
          <w:p>
            <w:pPr>
              <w:jc w:val="center"/>
              <w:rPr>
                <w:rFonts w:ascii="Times New Roman" w:hAnsi="Times New Roman" w:eastAsia="仿宋_GB2312"/>
                <w:sz w:val="20"/>
                <w:szCs w:val="20"/>
              </w:rPr>
            </w:pPr>
            <w:r>
              <w:rPr>
                <w:rFonts w:ascii="Times New Roman" w:hAnsi="Times New Roman" w:eastAsia="仿宋_GB2312"/>
                <w:sz w:val="20"/>
                <w:szCs w:val="20"/>
              </w:rPr>
              <w:t>分值</w:t>
            </w:r>
          </w:p>
        </w:tc>
        <w:tc>
          <w:tcPr>
            <w:tcW w:w="877" w:type="dxa"/>
            <w:noWrap w:val="0"/>
            <w:vAlign w:val="center"/>
          </w:tcPr>
          <w:p>
            <w:pPr>
              <w:jc w:val="center"/>
              <w:rPr>
                <w:rFonts w:ascii="Times New Roman" w:hAnsi="Times New Roman" w:eastAsia="仿宋_GB2312"/>
                <w:sz w:val="20"/>
                <w:szCs w:val="20"/>
              </w:rPr>
            </w:pPr>
            <w:r>
              <w:rPr>
                <w:rFonts w:ascii="Times New Roman" w:hAnsi="Times New Roman" w:eastAsia="仿宋_GB2312"/>
                <w:sz w:val="20"/>
                <w:szCs w:val="20"/>
              </w:rPr>
              <w:t>执行率</w:t>
            </w:r>
          </w:p>
        </w:tc>
        <w:tc>
          <w:tcPr>
            <w:tcW w:w="1146" w:type="dxa"/>
            <w:noWrap w:val="0"/>
            <w:vAlign w:val="center"/>
          </w:tcPr>
          <w:p>
            <w:pPr>
              <w:jc w:val="center"/>
              <w:rPr>
                <w:rFonts w:ascii="Times New Roman" w:hAnsi="Times New Roman" w:eastAsia="仿宋_GB2312"/>
                <w:sz w:val="20"/>
                <w:szCs w:val="20"/>
              </w:rPr>
            </w:pPr>
            <w:r>
              <w:rPr>
                <w:rFonts w:ascii="Times New Roman" w:hAnsi="Times New Roman" w:eastAsia="仿宋_GB2312"/>
                <w:sz w:val="20"/>
                <w:szCs w:val="20"/>
              </w:rPr>
              <w:t>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center"/>
              <w:rPr>
                <w:rFonts w:ascii="Times New Roman" w:hAnsi="Times New Roman" w:eastAsia="仿宋_GB2312"/>
                <w:color w:val="000000"/>
                <w:sz w:val="20"/>
                <w:szCs w:val="20"/>
              </w:rPr>
            </w:pPr>
          </w:p>
        </w:tc>
        <w:tc>
          <w:tcPr>
            <w:tcW w:w="2170" w:type="dxa"/>
            <w:gridSpan w:val="2"/>
            <w:noWrap w:val="0"/>
            <w:vAlign w:val="center"/>
          </w:tcPr>
          <w:p>
            <w:pPr>
              <w:jc w:val="left"/>
              <w:rPr>
                <w:rFonts w:ascii="Times New Roman" w:hAnsi="Times New Roman" w:eastAsia="仿宋_GB2312"/>
                <w:color w:val="000000"/>
                <w:sz w:val="20"/>
                <w:szCs w:val="20"/>
              </w:rPr>
            </w:pPr>
            <w:r>
              <w:rPr>
                <w:rFonts w:ascii="Times New Roman" w:hAnsi="Times New Roman" w:eastAsia="仿宋_GB2312"/>
                <w:color w:val="000000"/>
                <w:sz w:val="20"/>
                <w:szCs w:val="20"/>
              </w:rPr>
              <w:t>年度资金总额　</w:t>
            </w:r>
          </w:p>
        </w:tc>
        <w:tc>
          <w:tcPr>
            <w:tcW w:w="1230" w:type="dxa"/>
            <w:noWrap w:val="0"/>
            <w:vAlign w:val="center"/>
          </w:tcPr>
          <w:p>
            <w:pPr>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539</w:t>
            </w:r>
          </w:p>
        </w:tc>
        <w:tc>
          <w:tcPr>
            <w:tcW w:w="1140" w:type="dxa"/>
            <w:noWrap w:val="0"/>
            <w:vAlign w:val="center"/>
          </w:tcPr>
          <w:p>
            <w:pPr>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626.21</w:t>
            </w:r>
          </w:p>
        </w:tc>
        <w:tc>
          <w:tcPr>
            <w:tcW w:w="1140" w:type="dxa"/>
            <w:noWrap w:val="0"/>
            <w:vAlign w:val="center"/>
          </w:tcPr>
          <w:p>
            <w:pPr>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603.56</w:t>
            </w:r>
          </w:p>
        </w:tc>
        <w:tc>
          <w:tcPr>
            <w:tcW w:w="832" w:type="dxa"/>
            <w:noWrap w:val="0"/>
            <w:vAlign w:val="center"/>
          </w:tcPr>
          <w:p>
            <w:pPr>
              <w:jc w:val="left"/>
              <w:rPr>
                <w:rFonts w:ascii="Times New Roman" w:hAnsi="Times New Roman" w:eastAsia="仿宋_GB2312"/>
                <w:color w:val="000000"/>
                <w:sz w:val="20"/>
                <w:szCs w:val="20"/>
              </w:rPr>
            </w:pPr>
            <w:r>
              <w:rPr>
                <w:rFonts w:ascii="Times New Roman" w:hAnsi="Times New Roman" w:eastAsia="仿宋_GB2312"/>
                <w:color w:val="000000"/>
                <w:sz w:val="20"/>
                <w:szCs w:val="20"/>
              </w:rPr>
              <w:t>　10</w:t>
            </w:r>
          </w:p>
        </w:tc>
        <w:tc>
          <w:tcPr>
            <w:tcW w:w="877" w:type="dxa"/>
            <w:noWrap w:val="0"/>
            <w:vAlign w:val="center"/>
          </w:tcPr>
          <w:p>
            <w:pPr>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96.38%</w:t>
            </w:r>
          </w:p>
        </w:tc>
        <w:tc>
          <w:tcPr>
            <w:tcW w:w="1146" w:type="dxa"/>
            <w:noWrap w:val="0"/>
            <w:vAlign w:val="center"/>
          </w:tcPr>
          <w:p>
            <w:pPr>
              <w:jc w:val="left"/>
              <w:rPr>
                <w:rFonts w:hint="eastAsia"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2" w:hRule="atLeast"/>
          <w:jc w:val="center"/>
        </w:trPr>
        <w:tc>
          <w:tcPr>
            <w:tcW w:w="921" w:type="dxa"/>
            <w:vMerge w:val="continue"/>
            <w:noWrap w:val="0"/>
            <w:vAlign w:val="center"/>
          </w:tcPr>
          <w:p>
            <w:pPr>
              <w:jc w:val="center"/>
              <w:rPr>
                <w:rFonts w:ascii="Times New Roman" w:hAnsi="Times New Roman" w:eastAsia="仿宋_GB2312"/>
                <w:color w:val="000000"/>
                <w:sz w:val="20"/>
                <w:szCs w:val="20"/>
              </w:rPr>
            </w:pPr>
          </w:p>
        </w:tc>
        <w:tc>
          <w:tcPr>
            <w:tcW w:w="2170" w:type="dxa"/>
            <w:gridSpan w:val="2"/>
            <w:noWrap w:val="0"/>
            <w:vAlign w:val="center"/>
          </w:tcPr>
          <w:p>
            <w:pPr>
              <w:jc w:val="left"/>
              <w:rPr>
                <w:rFonts w:ascii="Times New Roman" w:hAnsi="Times New Roman" w:eastAsia="仿宋_GB2312"/>
                <w:color w:val="000000"/>
                <w:sz w:val="20"/>
                <w:szCs w:val="20"/>
              </w:rPr>
            </w:pPr>
            <w:r>
              <w:rPr>
                <w:rFonts w:ascii="Times New Roman" w:hAnsi="Times New Roman" w:eastAsia="仿宋_GB2312"/>
                <w:color w:val="000000"/>
                <w:sz w:val="20"/>
                <w:szCs w:val="20"/>
              </w:rPr>
              <w:t>其中：当年财政拨款　</w:t>
            </w:r>
          </w:p>
        </w:tc>
        <w:tc>
          <w:tcPr>
            <w:tcW w:w="1230" w:type="dxa"/>
            <w:noWrap w:val="0"/>
            <w:vAlign w:val="center"/>
          </w:tcPr>
          <w:p>
            <w:pPr>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539</w:t>
            </w:r>
          </w:p>
        </w:tc>
        <w:tc>
          <w:tcPr>
            <w:tcW w:w="1140" w:type="dxa"/>
            <w:noWrap w:val="0"/>
            <w:vAlign w:val="center"/>
          </w:tcPr>
          <w:p>
            <w:pPr>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603.56</w:t>
            </w:r>
          </w:p>
        </w:tc>
        <w:tc>
          <w:tcPr>
            <w:tcW w:w="1140" w:type="dxa"/>
            <w:noWrap w:val="0"/>
            <w:vAlign w:val="center"/>
          </w:tcPr>
          <w:p>
            <w:pPr>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603.21</w:t>
            </w:r>
          </w:p>
        </w:tc>
        <w:tc>
          <w:tcPr>
            <w:tcW w:w="832" w:type="dxa"/>
            <w:noWrap w:val="0"/>
            <w:vAlign w:val="center"/>
          </w:tcPr>
          <w:p>
            <w:pPr>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p>
        </w:tc>
        <w:tc>
          <w:tcPr>
            <w:tcW w:w="877" w:type="dxa"/>
            <w:noWrap w:val="0"/>
            <w:vAlign w:val="center"/>
          </w:tcPr>
          <w:p>
            <w:pPr>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p>
        </w:tc>
        <w:tc>
          <w:tcPr>
            <w:tcW w:w="1146" w:type="dxa"/>
            <w:noWrap w:val="0"/>
            <w:vAlign w:val="center"/>
          </w:tcPr>
          <w:p>
            <w:pPr>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3" w:hRule="atLeast"/>
          <w:jc w:val="center"/>
        </w:trPr>
        <w:tc>
          <w:tcPr>
            <w:tcW w:w="921" w:type="dxa"/>
            <w:vMerge w:val="continue"/>
            <w:noWrap w:val="0"/>
            <w:vAlign w:val="center"/>
          </w:tcPr>
          <w:p>
            <w:pPr>
              <w:jc w:val="center"/>
              <w:rPr>
                <w:rFonts w:ascii="Times New Roman" w:hAnsi="Times New Roman" w:eastAsia="仿宋_GB2312"/>
                <w:color w:val="000000"/>
                <w:sz w:val="20"/>
                <w:szCs w:val="20"/>
              </w:rPr>
            </w:pPr>
          </w:p>
        </w:tc>
        <w:tc>
          <w:tcPr>
            <w:tcW w:w="2170" w:type="dxa"/>
            <w:gridSpan w:val="2"/>
            <w:noWrap w:val="0"/>
            <w:vAlign w:val="center"/>
          </w:tcPr>
          <w:p>
            <w:pPr>
              <w:ind w:firstLine="600" w:firstLineChars="300"/>
              <w:jc w:val="left"/>
              <w:rPr>
                <w:rFonts w:ascii="Times New Roman" w:hAnsi="Times New Roman" w:eastAsia="仿宋_GB2312"/>
                <w:color w:val="000000"/>
                <w:sz w:val="20"/>
                <w:szCs w:val="20"/>
              </w:rPr>
            </w:pPr>
            <w:r>
              <w:rPr>
                <w:rFonts w:ascii="Times New Roman" w:hAnsi="Times New Roman" w:eastAsia="仿宋_GB2312"/>
                <w:color w:val="000000"/>
                <w:sz w:val="20"/>
                <w:szCs w:val="20"/>
              </w:rPr>
              <w:t>上年结转资金　</w:t>
            </w:r>
          </w:p>
        </w:tc>
        <w:tc>
          <w:tcPr>
            <w:tcW w:w="1230" w:type="dxa"/>
            <w:noWrap w:val="0"/>
            <w:vAlign w:val="center"/>
          </w:tcPr>
          <w:p>
            <w:pPr>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p>
        </w:tc>
        <w:tc>
          <w:tcPr>
            <w:tcW w:w="1140" w:type="dxa"/>
            <w:noWrap w:val="0"/>
            <w:vAlign w:val="center"/>
          </w:tcPr>
          <w:p>
            <w:pPr>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p>
        </w:tc>
        <w:tc>
          <w:tcPr>
            <w:tcW w:w="1140" w:type="dxa"/>
            <w:noWrap w:val="0"/>
            <w:vAlign w:val="center"/>
          </w:tcPr>
          <w:p>
            <w:pPr>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p>
        </w:tc>
        <w:tc>
          <w:tcPr>
            <w:tcW w:w="832" w:type="dxa"/>
            <w:noWrap w:val="0"/>
            <w:vAlign w:val="center"/>
          </w:tcPr>
          <w:p>
            <w:pPr>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p>
        </w:tc>
        <w:tc>
          <w:tcPr>
            <w:tcW w:w="877" w:type="dxa"/>
            <w:noWrap w:val="0"/>
            <w:vAlign w:val="center"/>
          </w:tcPr>
          <w:p>
            <w:pPr>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p>
        </w:tc>
        <w:tc>
          <w:tcPr>
            <w:tcW w:w="1146" w:type="dxa"/>
            <w:noWrap w:val="0"/>
            <w:vAlign w:val="center"/>
          </w:tcPr>
          <w:p>
            <w:pPr>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center"/>
              <w:rPr>
                <w:rFonts w:ascii="Times New Roman" w:hAnsi="Times New Roman" w:eastAsia="仿宋_GB2312"/>
                <w:color w:val="000000"/>
                <w:sz w:val="20"/>
                <w:szCs w:val="20"/>
              </w:rPr>
            </w:pPr>
          </w:p>
        </w:tc>
        <w:tc>
          <w:tcPr>
            <w:tcW w:w="2170" w:type="dxa"/>
            <w:gridSpan w:val="2"/>
            <w:noWrap w:val="0"/>
            <w:vAlign w:val="center"/>
          </w:tcPr>
          <w:p>
            <w:pPr>
              <w:ind w:firstLine="600" w:firstLineChars="300"/>
              <w:jc w:val="left"/>
              <w:rPr>
                <w:rFonts w:ascii="Times New Roman" w:hAnsi="Times New Roman" w:eastAsia="仿宋_GB2312"/>
                <w:color w:val="000000"/>
                <w:sz w:val="20"/>
                <w:szCs w:val="20"/>
              </w:rPr>
            </w:pPr>
            <w:r>
              <w:rPr>
                <w:rFonts w:ascii="Times New Roman" w:hAnsi="Times New Roman" w:eastAsia="仿宋_GB2312"/>
                <w:color w:val="000000"/>
                <w:sz w:val="20"/>
                <w:szCs w:val="20"/>
              </w:rPr>
              <w:t>其他资金</w:t>
            </w:r>
          </w:p>
        </w:tc>
        <w:tc>
          <w:tcPr>
            <w:tcW w:w="1230" w:type="dxa"/>
            <w:noWrap w:val="0"/>
            <w:vAlign w:val="center"/>
          </w:tcPr>
          <w:p>
            <w:pPr>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p>
        </w:tc>
        <w:tc>
          <w:tcPr>
            <w:tcW w:w="1140" w:type="dxa"/>
            <w:noWrap w:val="0"/>
            <w:vAlign w:val="center"/>
          </w:tcPr>
          <w:p>
            <w:pPr>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22.65</w:t>
            </w:r>
          </w:p>
        </w:tc>
        <w:tc>
          <w:tcPr>
            <w:tcW w:w="1140" w:type="dxa"/>
            <w:noWrap w:val="0"/>
            <w:vAlign w:val="center"/>
          </w:tcPr>
          <w:p>
            <w:pPr>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p>
        </w:tc>
        <w:tc>
          <w:tcPr>
            <w:tcW w:w="832" w:type="dxa"/>
            <w:noWrap w:val="0"/>
            <w:vAlign w:val="center"/>
          </w:tcPr>
          <w:p>
            <w:pPr>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p>
        </w:tc>
        <w:tc>
          <w:tcPr>
            <w:tcW w:w="877" w:type="dxa"/>
            <w:noWrap w:val="0"/>
            <w:vAlign w:val="center"/>
          </w:tcPr>
          <w:p>
            <w:pPr>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p>
        </w:tc>
        <w:tc>
          <w:tcPr>
            <w:tcW w:w="1146" w:type="dxa"/>
            <w:noWrap w:val="0"/>
            <w:vAlign w:val="center"/>
          </w:tcPr>
          <w:p>
            <w:pPr>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8" w:hRule="atLeast"/>
          <w:jc w:val="center"/>
        </w:trPr>
        <w:tc>
          <w:tcPr>
            <w:tcW w:w="921" w:type="dxa"/>
            <w:vMerge w:val="restart"/>
            <w:noWrap w:val="0"/>
            <w:vAlign w:val="center"/>
          </w:tcPr>
          <w:p>
            <w:pPr>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年度总体目标</w:t>
            </w:r>
          </w:p>
        </w:tc>
        <w:tc>
          <w:tcPr>
            <w:tcW w:w="4540" w:type="dxa"/>
            <w:gridSpan w:val="4"/>
            <w:noWrap w:val="0"/>
            <w:vAlign w:val="center"/>
          </w:tcPr>
          <w:p>
            <w:pPr>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预期目标</w:t>
            </w:r>
          </w:p>
        </w:tc>
        <w:tc>
          <w:tcPr>
            <w:tcW w:w="3995" w:type="dxa"/>
            <w:gridSpan w:val="4"/>
            <w:noWrap w:val="0"/>
            <w:vAlign w:val="center"/>
          </w:tcPr>
          <w:p>
            <w:pPr>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实际完成情况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center"/>
              <w:rPr>
                <w:rFonts w:ascii="Times New Roman" w:hAnsi="Times New Roman" w:eastAsia="仿宋_GB2312"/>
                <w:color w:val="000000"/>
                <w:sz w:val="20"/>
                <w:szCs w:val="20"/>
              </w:rPr>
            </w:pPr>
          </w:p>
        </w:tc>
        <w:tc>
          <w:tcPr>
            <w:tcW w:w="4540" w:type="dxa"/>
            <w:gridSpan w:val="4"/>
            <w:noWrap w:val="0"/>
            <w:vAlign w:val="center"/>
          </w:tcPr>
          <w:p>
            <w:pPr>
              <w:jc w:val="center"/>
              <w:rPr>
                <w:rFonts w:ascii="Times New Roman" w:hAnsi="Times New Roman" w:eastAsia="仿宋_GB2312"/>
                <w:color w:val="000000"/>
                <w:sz w:val="20"/>
                <w:szCs w:val="20"/>
              </w:rPr>
            </w:pPr>
            <w:r>
              <w:rPr>
                <w:rFonts w:hint="eastAsia" w:ascii="Times New Roman" w:hAnsi="Times New Roman" w:eastAsia="仿宋_GB2312"/>
                <w:color w:val="000000"/>
                <w:sz w:val="20"/>
                <w:szCs w:val="20"/>
              </w:rPr>
              <w:t>为纪念馆、党史陈列馆、陈家大屋旧址保护等场馆运行及烈士公园园区维护提供经费保障</w:t>
            </w:r>
            <w:r>
              <w:rPr>
                <w:rFonts w:ascii="Times New Roman" w:hAnsi="Times New Roman" w:eastAsia="仿宋_GB2312"/>
                <w:color w:val="000000"/>
                <w:sz w:val="20"/>
                <w:szCs w:val="20"/>
              </w:rPr>
              <w:t>　　</w:t>
            </w:r>
          </w:p>
        </w:tc>
        <w:tc>
          <w:tcPr>
            <w:tcW w:w="3995" w:type="dxa"/>
            <w:gridSpan w:val="4"/>
            <w:noWrap w:val="0"/>
            <w:vAlign w:val="center"/>
          </w:tcPr>
          <w:p>
            <w:pPr>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全年单位各场馆及园区运行维护工作正常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40" w:hRule="atLeast"/>
          <w:jc w:val="center"/>
        </w:trPr>
        <w:tc>
          <w:tcPr>
            <w:tcW w:w="921" w:type="dxa"/>
            <w:vMerge w:val="restart"/>
            <w:noWrap w:val="0"/>
            <w:vAlign w:val="center"/>
          </w:tcPr>
          <w:p>
            <w:pPr>
              <w:jc w:val="center"/>
              <w:rPr>
                <w:rFonts w:ascii="Times New Roman" w:hAnsi="Times New Roman" w:eastAsia="仿宋_GB2312"/>
                <w:color w:val="000000"/>
                <w:sz w:val="20"/>
                <w:szCs w:val="20"/>
              </w:rPr>
            </w:pPr>
            <w:r>
              <w:rPr>
                <w:rFonts w:hint="eastAsia"/>
              </w:rPr>
              <w:t>＞</w:t>
            </w:r>
          </w:p>
        </w:tc>
        <w:tc>
          <w:tcPr>
            <w:tcW w:w="1085" w:type="dxa"/>
            <w:noWrap w:val="0"/>
            <w:vAlign w:val="center"/>
          </w:tcPr>
          <w:p>
            <w:pPr>
              <w:spacing w:line="240" w:lineRule="exact"/>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一级指标</w:t>
            </w:r>
          </w:p>
        </w:tc>
        <w:tc>
          <w:tcPr>
            <w:tcW w:w="1085" w:type="dxa"/>
            <w:noWrap w:val="0"/>
            <w:vAlign w:val="center"/>
          </w:tcPr>
          <w:p>
            <w:pPr>
              <w:spacing w:line="240" w:lineRule="exact"/>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二级指标</w:t>
            </w:r>
          </w:p>
        </w:tc>
        <w:tc>
          <w:tcPr>
            <w:tcW w:w="1230" w:type="dxa"/>
            <w:noWrap w:val="0"/>
            <w:vAlign w:val="center"/>
          </w:tcPr>
          <w:p>
            <w:pPr>
              <w:spacing w:line="240" w:lineRule="exact"/>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三级指标</w:t>
            </w:r>
          </w:p>
        </w:tc>
        <w:tc>
          <w:tcPr>
            <w:tcW w:w="1140" w:type="dxa"/>
            <w:noWrap w:val="0"/>
            <w:vAlign w:val="center"/>
          </w:tcPr>
          <w:p>
            <w:pPr>
              <w:spacing w:line="240" w:lineRule="exact"/>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年度</w:t>
            </w:r>
          </w:p>
          <w:p>
            <w:pPr>
              <w:spacing w:line="240" w:lineRule="exact"/>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指标值</w:t>
            </w:r>
          </w:p>
        </w:tc>
        <w:tc>
          <w:tcPr>
            <w:tcW w:w="1140" w:type="dxa"/>
            <w:noWrap w:val="0"/>
            <w:vAlign w:val="center"/>
          </w:tcPr>
          <w:p>
            <w:pPr>
              <w:spacing w:line="240" w:lineRule="exact"/>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实际</w:t>
            </w:r>
          </w:p>
          <w:p>
            <w:pPr>
              <w:spacing w:line="240" w:lineRule="exact"/>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完成值</w:t>
            </w:r>
          </w:p>
        </w:tc>
        <w:tc>
          <w:tcPr>
            <w:tcW w:w="832" w:type="dxa"/>
            <w:noWrap w:val="0"/>
            <w:vAlign w:val="center"/>
          </w:tcPr>
          <w:p>
            <w:pPr>
              <w:spacing w:line="240" w:lineRule="exact"/>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分值</w:t>
            </w:r>
          </w:p>
        </w:tc>
        <w:tc>
          <w:tcPr>
            <w:tcW w:w="877" w:type="dxa"/>
            <w:noWrap w:val="0"/>
            <w:vAlign w:val="center"/>
          </w:tcPr>
          <w:p>
            <w:pPr>
              <w:spacing w:line="240" w:lineRule="exact"/>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得分</w:t>
            </w:r>
          </w:p>
        </w:tc>
        <w:tc>
          <w:tcPr>
            <w:tcW w:w="1146" w:type="dxa"/>
            <w:noWrap w:val="0"/>
            <w:vAlign w:val="center"/>
          </w:tcPr>
          <w:p>
            <w:pPr>
              <w:spacing w:line="240" w:lineRule="exact"/>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偏差原因</w:t>
            </w:r>
          </w:p>
          <w:p>
            <w:pPr>
              <w:spacing w:line="240" w:lineRule="exact"/>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分析及</w:t>
            </w:r>
          </w:p>
          <w:p>
            <w:pPr>
              <w:spacing w:line="240" w:lineRule="exact"/>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改进措施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03" w:hRule="atLeast"/>
          <w:jc w:val="center"/>
        </w:trPr>
        <w:tc>
          <w:tcPr>
            <w:tcW w:w="921" w:type="dxa"/>
            <w:vMerge w:val="continue"/>
            <w:noWrap w:val="0"/>
            <w:vAlign w:val="center"/>
          </w:tcPr>
          <w:p>
            <w:pPr>
              <w:jc w:val="left"/>
              <w:rPr>
                <w:rFonts w:ascii="Times New Roman" w:hAnsi="Times New Roman" w:eastAsia="仿宋_GB2312"/>
                <w:color w:val="000000"/>
                <w:sz w:val="20"/>
                <w:szCs w:val="20"/>
              </w:rPr>
            </w:pPr>
          </w:p>
        </w:tc>
        <w:tc>
          <w:tcPr>
            <w:tcW w:w="1085" w:type="dxa"/>
            <w:vMerge w:val="restart"/>
            <w:noWrap w:val="0"/>
            <w:vAlign w:val="center"/>
          </w:tcPr>
          <w:p>
            <w:pPr>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产出指标</w:t>
            </w:r>
          </w:p>
          <w:p>
            <w:pPr>
              <w:jc w:val="center"/>
              <w:rPr>
                <w:rFonts w:ascii="Times New Roman" w:hAnsi="Times New Roman" w:eastAsia="仿宋_GB2312"/>
                <w:color w:val="000000"/>
                <w:sz w:val="20"/>
                <w:szCs w:val="20"/>
              </w:rPr>
            </w:pPr>
          </w:p>
          <w:p>
            <w:pPr>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(50分)</w:t>
            </w:r>
          </w:p>
        </w:tc>
        <w:tc>
          <w:tcPr>
            <w:tcW w:w="1085" w:type="dxa"/>
            <w:vMerge w:val="restart"/>
            <w:noWrap w:val="0"/>
            <w:vAlign w:val="center"/>
          </w:tcPr>
          <w:p>
            <w:pPr>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数量指标</w:t>
            </w:r>
          </w:p>
        </w:tc>
        <w:tc>
          <w:tcPr>
            <w:tcW w:w="1230" w:type="dxa"/>
            <w:noWrap w:val="0"/>
            <w:vAlign w:val="center"/>
          </w:tcPr>
          <w:p>
            <w:pPr>
              <w:jc w:val="left"/>
              <w:rPr>
                <w:rFonts w:hint="eastAsia" w:ascii="Times New Roman" w:hAnsi="Times New Roman" w:eastAsia="仿宋"/>
                <w:color w:val="000000"/>
                <w:sz w:val="20"/>
                <w:szCs w:val="20"/>
              </w:rPr>
            </w:pPr>
            <w:r>
              <w:rPr>
                <w:rFonts w:hint="eastAsia" w:eastAsia="仿宋" w:cs="仿宋"/>
                <w:sz w:val="20"/>
                <w:szCs w:val="20"/>
              </w:rPr>
              <w:t>基础设施维护工作完成率</w:t>
            </w:r>
          </w:p>
        </w:tc>
        <w:tc>
          <w:tcPr>
            <w:tcW w:w="1140" w:type="dxa"/>
            <w:noWrap w:val="0"/>
            <w:vAlign w:val="center"/>
          </w:tcPr>
          <w:p>
            <w:pPr>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95%</w:t>
            </w:r>
          </w:p>
        </w:tc>
        <w:tc>
          <w:tcPr>
            <w:tcW w:w="1140" w:type="dxa"/>
            <w:noWrap w:val="0"/>
            <w:vAlign w:val="center"/>
          </w:tcPr>
          <w:p>
            <w:pPr>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95%</w:t>
            </w:r>
          </w:p>
        </w:tc>
        <w:tc>
          <w:tcPr>
            <w:tcW w:w="832" w:type="dxa"/>
            <w:noWrap w:val="0"/>
            <w:vAlign w:val="center"/>
          </w:tcPr>
          <w:p>
            <w:pPr>
              <w:jc w:val="left"/>
              <w:rPr>
                <w:rFonts w:hint="eastAsia" w:ascii="Times New Roman" w:hAnsi="Times New Roman" w:eastAsia="仿宋_GB2312"/>
                <w:color w:val="000000"/>
                <w:sz w:val="20"/>
                <w:szCs w:val="20"/>
                <w:lang w:val="en-US" w:eastAsia="zh-CN"/>
              </w:rPr>
            </w:pPr>
            <w:r>
              <w:rPr>
                <w:rFonts w:hint="eastAsia" w:ascii="Times New Roman" w:hAnsi="Times New Roman" w:eastAsia="仿宋_GB2312"/>
                <w:color w:val="000000"/>
                <w:sz w:val="20"/>
                <w:szCs w:val="20"/>
                <w:lang w:val="en-US" w:eastAsia="zh-CN"/>
              </w:rPr>
              <w:t>1</w:t>
            </w:r>
          </w:p>
        </w:tc>
        <w:tc>
          <w:tcPr>
            <w:tcW w:w="877" w:type="dxa"/>
            <w:noWrap w:val="0"/>
            <w:vAlign w:val="center"/>
          </w:tcPr>
          <w:p>
            <w:pPr>
              <w:jc w:val="left"/>
              <w:rPr>
                <w:rFonts w:hint="eastAsia" w:ascii="Times New Roman" w:hAnsi="Times New Roman" w:eastAsia="仿宋_GB2312"/>
                <w:color w:val="000000"/>
                <w:sz w:val="20"/>
                <w:szCs w:val="20"/>
                <w:lang w:eastAsia="zh-CN"/>
              </w:rPr>
            </w:pPr>
            <w:r>
              <w:rPr>
                <w:rFonts w:hint="eastAsia" w:ascii="Times New Roman" w:hAnsi="Times New Roman" w:eastAsia="仿宋_GB2312"/>
                <w:color w:val="000000"/>
                <w:sz w:val="20"/>
                <w:szCs w:val="20"/>
                <w:lang w:val="en-US" w:eastAsia="zh-CN"/>
              </w:rPr>
              <w:t>1</w:t>
            </w:r>
          </w:p>
        </w:tc>
        <w:tc>
          <w:tcPr>
            <w:tcW w:w="1146" w:type="dxa"/>
            <w:noWrap w:val="0"/>
            <w:vAlign w:val="center"/>
          </w:tcPr>
          <w:p>
            <w:pPr>
              <w:jc w:val="left"/>
              <w:rPr>
                <w:rFonts w:hint="eastAsia"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03" w:hRule="atLeast"/>
          <w:jc w:val="center"/>
        </w:trPr>
        <w:tc>
          <w:tcPr>
            <w:tcW w:w="921" w:type="dxa"/>
            <w:vMerge w:val="continue"/>
            <w:noWrap w:val="0"/>
            <w:vAlign w:val="center"/>
          </w:tcPr>
          <w:p>
            <w:pPr>
              <w:jc w:val="left"/>
              <w:rPr>
                <w:rFonts w:ascii="Times New Roman" w:hAnsi="Times New Roman" w:eastAsia="仿宋_GB2312"/>
                <w:color w:val="000000"/>
                <w:sz w:val="20"/>
                <w:szCs w:val="20"/>
              </w:rPr>
            </w:pPr>
          </w:p>
        </w:tc>
        <w:tc>
          <w:tcPr>
            <w:tcW w:w="1085" w:type="dxa"/>
            <w:vMerge w:val="continue"/>
            <w:noWrap w:val="0"/>
            <w:vAlign w:val="center"/>
          </w:tcPr>
          <w:p>
            <w:pPr>
              <w:jc w:val="center"/>
              <w:rPr>
                <w:rFonts w:ascii="Times New Roman" w:hAnsi="Times New Roman" w:eastAsia="仿宋_GB2312"/>
                <w:color w:val="000000"/>
                <w:sz w:val="20"/>
                <w:szCs w:val="20"/>
              </w:rPr>
            </w:pPr>
          </w:p>
        </w:tc>
        <w:tc>
          <w:tcPr>
            <w:tcW w:w="1085" w:type="dxa"/>
            <w:vMerge w:val="continue"/>
            <w:noWrap w:val="0"/>
            <w:vAlign w:val="center"/>
          </w:tcPr>
          <w:p>
            <w:pPr>
              <w:jc w:val="center"/>
              <w:rPr>
                <w:rFonts w:ascii="Times New Roman" w:hAnsi="Times New Roman" w:eastAsia="仿宋_GB2312"/>
                <w:color w:val="000000"/>
                <w:sz w:val="20"/>
                <w:szCs w:val="20"/>
              </w:rPr>
            </w:pPr>
          </w:p>
        </w:tc>
        <w:tc>
          <w:tcPr>
            <w:tcW w:w="1230" w:type="dxa"/>
            <w:noWrap w:val="0"/>
            <w:vAlign w:val="center"/>
          </w:tcPr>
          <w:p>
            <w:pPr>
              <w:jc w:val="left"/>
              <w:rPr>
                <w:rFonts w:hint="eastAsia" w:eastAsia="仿宋" w:cs="仿宋"/>
                <w:sz w:val="20"/>
                <w:szCs w:val="20"/>
              </w:rPr>
            </w:pPr>
            <w:r>
              <w:rPr>
                <w:rFonts w:hint="eastAsia" w:eastAsia="仿宋" w:cs="仿宋"/>
                <w:sz w:val="20"/>
                <w:szCs w:val="20"/>
              </w:rPr>
              <w:t>纪念设施维护工作完成率</w:t>
            </w:r>
          </w:p>
        </w:tc>
        <w:tc>
          <w:tcPr>
            <w:tcW w:w="1140" w:type="dxa"/>
            <w:noWrap w:val="0"/>
            <w:vAlign w:val="center"/>
          </w:tcPr>
          <w:p>
            <w:pPr>
              <w:jc w:val="left"/>
              <w:rPr>
                <w:rFonts w:hint="eastAsia" w:ascii="Times New Roman" w:hAnsi="Times New Roman" w:eastAsia="仿宋_GB2312"/>
                <w:color w:val="000000"/>
                <w:sz w:val="20"/>
                <w:szCs w:val="20"/>
                <w:lang w:val="en-US" w:eastAsia="zh-CN" w:bidi="ar-SA"/>
              </w:rPr>
            </w:pPr>
            <w:r>
              <w:rPr>
                <w:rFonts w:hint="eastAsia" w:ascii="Times New Roman" w:hAnsi="Times New Roman" w:eastAsia="仿宋_GB2312"/>
                <w:color w:val="000000"/>
                <w:sz w:val="20"/>
                <w:szCs w:val="20"/>
              </w:rPr>
              <w:t>95%</w:t>
            </w:r>
          </w:p>
        </w:tc>
        <w:tc>
          <w:tcPr>
            <w:tcW w:w="1140" w:type="dxa"/>
            <w:noWrap w:val="0"/>
            <w:vAlign w:val="center"/>
          </w:tcPr>
          <w:p>
            <w:pPr>
              <w:jc w:val="left"/>
              <w:rPr>
                <w:rFonts w:hint="eastAsia" w:ascii="Times New Roman" w:hAnsi="Times New Roman" w:eastAsia="仿宋_GB2312"/>
                <w:color w:val="000000"/>
                <w:sz w:val="20"/>
                <w:szCs w:val="20"/>
                <w:lang w:val="en-US" w:eastAsia="zh-CN" w:bidi="ar-SA"/>
              </w:rPr>
            </w:pPr>
            <w:r>
              <w:rPr>
                <w:rFonts w:hint="eastAsia" w:ascii="Times New Roman" w:hAnsi="Times New Roman" w:eastAsia="仿宋_GB2312"/>
                <w:color w:val="000000"/>
                <w:sz w:val="20"/>
                <w:szCs w:val="20"/>
              </w:rPr>
              <w:t>95%</w:t>
            </w:r>
          </w:p>
        </w:tc>
        <w:tc>
          <w:tcPr>
            <w:tcW w:w="832" w:type="dxa"/>
            <w:noWrap w:val="0"/>
            <w:vAlign w:val="center"/>
          </w:tcPr>
          <w:p>
            <w:pPr>
              <w:jc w:val="left"/>
              <w:rPr>
                <w:rFonts w:hint="eastAsia" w:ascii="Times New Roman" w:hAnsi="Times New Roman" w:eastAsia="仿宋_GB2312"/>
                <w:color w:val="000000"/>
                <w:sz w:val="20"/>
                <w:szCs w:val="20"/>
                <w:lang w:val="en-US" w:eastAsia="zh-CN"/>
              </w:rPr>
            </w:pPr>
            <w:r>
              <w:rPr>
                <w:rFonts w:hint="eastAsia" w:ascii="Times New Roman" w:hAnsi="Times New Roman" w:eastAsia="仿宋_GB2312"/>
                <w:color w:val="000000"/>
                <w:sz w:val="20"/>
                <w:szCs w:val="20"/>
                <w:lang w:val="en-US" w:eastAsia="zh-CN"/>
              </w:rPr>
              <w:t>1</w:t>
            </w:r>
          </w:p>
        </w:tc>
        <w:tc>
          <w:tcPr>
            <w:tcW w:w="877" w:type="dxa"/>
            <w:noWrap w:val="0"/>
            <w:vAlign w:val="center"/>
          </w:tcPr>
          <w:p>
            <w:pPr>
              <w:jc w:val="left"/>
              <w:rPr>
                <w:rFonts w:hint="eastAsia" w:ascii="Times New Roman" w:hAnsi="Times New Roman" w:eastAsia="仿宋_GB2312"/>
                <w:color w:val="000000"/>
                <w:sz w:val="20"/>
                <w:szCs w:val="20"/>
                <w:lang w:val="en-US" w:eastAsia="zh-CN"/>
              </w:rPr>
            </w:pPr>
            <w:r>
              <w:rPr>
                <w:rFonts w:hint="eastAsia" w:ascii="Times New Roman" w:hAnsi="Times New Roman" w:eastAsia="仿宋_GB2312"/>
                <w:color w:val="000000"/>
                <w:sz w:val="20"/>
                <w:szCs w:val="20"/>
                <w:lang w:val="en-US" w:eastAsia="zh-CN"/>
              </w:rPr>
              <w:t>1</w:t>
            </w:r>
          </w:p>
        </w:tc>
        <w:tc>
          <w:tcPr>
            <w:tcW w:w="1146" w:type="dxa"/>
            <w:noWrap w:val="0"/>
            <w:vAlign w:val="center"/>
          </w:tcPr>
          <w:p>
            <w:pPr>
              <w:jc w:val="left"/>
              <w:rPr>
                <w:rFonts w:ascii="Times New Roman" w:hAnsi="Times New Roman" w:eastAsia="仿宋_GB2312"/>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3" w:hRule="atLeast"/>
          <w:jc w:val="center"/>
        </w:trPr>
        <w:tc>
          <w:tcPr>
            <w:tcW w:w="921" w:type="dxa"/>
            <w:vMerge w:val="continue"/>
            <w:noWrap w:val="0"/>
            <w:vAlign w:val="center"/>
          </w:tcPr>
          <w:p>
            <w:pPr>
              <w:jc w:val="left"/>
              <w:rPr>
                <w:rFonts w:ascii="Times New Roman" w:hAnsi="Times New Roman" w:eastAsia="仿宋_GB2312"/>
                <w:color w:val="000000"/>
                <w:sz w:val="20"/>
                <w:szCs w:val="20"/>
              </w:rPr>
            </w:pPr>
          </w:p>
        </w:tc>
        <w:tc>
          <w:tcPr>
            <w:tcW w:w="1085" w:type="dxa"/>
            <w:vMerge w:val="continue"/>
            <w:noWrap w:val="0"/>
            <w:vAlign w:val="center"/>
          </w:tcPr>
          <w:p>
            <w:pPr>
              <w:jc w:val="center"/>
              <w:rPr>
                <w:rFonts w:ascii="Times New Roman" w:hAnsi="Times New Roman" w:eastAsia="仿宋_GB2312"/>
                <w:color w:val="000000"/>
                <w:sz w:val="20"/>
                <w:szCs w:val="20"/>
              </w:rPr>
            </w:pPr>
          </w:p>
        </w:tc>
        <w:tc>
          <w:tcPr>
            <w:tcW w:w="1085" w:type="dxa"/>
            <w:vMerge w:val="continue"/>
            <w:noWrap w:val="0"/>
            <w:vAlign w:val="center"/>
          </w:tcPr>
          <w:p>
            <w:pPr>
              <w:jc w:val="center"/>
              <w:rPr>
                <w:rFonts w:ascii="Times New Roman" w:hAnsi="Times New Roman" w:eastAsia="仿宋_GB2312"/>
                <w:color w:val="000000"/>
                <w:sz w:val="20"/>
                <w:szCs w:val="20"/>
              </w:rPr>
            </w:pPr>
          </w:p>
        </w:tc>
        <w:tc>
          <w:tcPr>
            <w:tcW w:w="1230" w:type="dxa"/>
            <w:noWrap w:val="0"/>
            <w:vAlign w:val="center"/>
          </w:tcPr>
          <w:p>
            <w:pPr>
              <w:jc w:val="left"/>
              <w:rPr>
                <w:rFonts w:hint="eastAsia" w:ascii="Times New Roman" w:hAnsi="Times New Roman" w:eastAsia="仿宋"/>
                <w:color w:val="000000"/>
                <w:sz w:val="20"/>
                <w:szCs w:val="20"/>
              </w:rPr>
            </w:pPr>
            <w:r>
              <w:rPr>
                <w:rFonts w:hint="eastAsia" w:eastAsia="仿宋" w:cs="仿宋"/>
                <w:sz w:val="20"/>
                <w:szCs w:val="20"/>
              </w:rPr>
              <w:t>森林防火工作完成率</w:t>
            </w:r>
          </w:p>
        </w:tc>
        <w:tc>
          <w:tcPr>
            <w:tcW w:w="1140" w:type="dxa"/>
            <w:noWrap w:val="0"/>
            <w:vAlign w:val="center"/>
          </w:tcPr>
          <w:p>
            <w:pPr>
              <w:jc w:val="left"/>
              <w:rPr>
                <w:rFonts w:ascii="Times New Roman" w:hAnsi="Times New Roman" w:eastAsia="仿宋_GB2312"/>
                <w:color w:val="000000"/>
                <w:sz w:val="20"/>
                <w:szCs w:val="20"/>
              </w:rPr>
            </w:pPr>
            <w:r>
              <w:rPr>
                <w:rFonts w:hint="eastAsia" w:ascii="Times New Roman" w:hAnsi="Times New Roman" w:eastAsia="仿宋_GB2312"/>
                <w:color w:val="000000"/>
                <w:sz w:val="20"/>
                <w:szCs w:val="20"/>
              </w:rPr>
              <w:t>95%</w:t>
            </w:r>
          </w:p>
        </w:tc>
        <w:tc>
          <w:tcPr>
            <w:tcW w:w="1140" w:type="dxa"/>
            <w:noWrap w:val="0"/>
            <w:vAlign w:val="center"/>
          </w:tcPr>
          <w:p>
            <w:pPr>
              <w:jc w:val="left"/>
              <w:rPr>
                <w:rFonts w:ascii="Times New Roman" w:hAnsi="Times New Roman" w:eastAsia="仿宋_GB2312"/>
                <w:color w:val="000000"/>
                <w:sz w:val="20"/>
                <w:szCs w:val="20"/>
              </w:rPr>
            </w:pPr>
            <w:r>
              <w:rPr>
                <w:rFonts w:hint="eastAsia" w:ascii="Times New Roman" w:hAnsi="Times New Roman" w:eastAsia="仿宋_GB2312"/>
                <w:color w:val="000000"/>
                <w:sz w:val="20"/>
                <w:szCs w:val="20"/>
              </w:rPr>
              <w:t>95%</w:t>
            </w:r>
          </w:p>
        </w:tc>
        <w:tc>
          <w:tcPr>
            <w:tcW w:w="832" w:type="dxa"/>
            <w:noWrap w:val="0"/>
            <w:vAlign w:val="center"/>
          </w:tcPr>
          <w:p>
            <w:pPr>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2</w:t>
            </w:r>
          </w:p>
        </w:tc>
        <w:tc>
          <w:tcPr>
            <w:tcW w:w="877" w:type="dxa"/>
            <w:noWrap w:val="0"/>
            <w:vAlign w:val="center"/>
          </w:tcPr>
          <w:p>
            <w:pPr>
              <w:jc w:val="left"/>
              <w:rPr>
                <w:rFonts w:ascii="Times New Roman" w:hAnsi="Times New Roman" w:eastAsia="仿宋_GB2312"/>
                <w:color w:val="000000"/>
                <w:sz w:val="20"/>
                <w:szCs w:val="20"/>
              </w:rPr>
            </w:pPr>
            <w:r>
              <w:rPr>
                <w:rFonts w:hint="eastAsia" w:ascii="Times New Roman" w:hAnsi="Times New Roman" w:eastAsia="仿宋_GB2312"/>
                <w:color w:val="000000"/>
                <w:sz w:val="20"/>
                <w:szCs w:val="20"/>
              </w:rPr>
              <w:t>2</w:t>
            </w:r>
          </w:p>
        </w:tc>
        <w:tc>
          <w:tcPr>
            <w:tcW w:w="1146" w:type="dxa"/>
            <w:noWrap w:val="0"/>
            <w:vAlign w:val="center"/>
          </w:tcPr>
          <w:p>
            <w:pPr>
              <w:jc w:val="left"/>
              <w:rPr>
                <w:rFonts w:ascii="Times New Roman" w:hAnsi="Times New Roman" w:eastAsia="仿宋_GB2312"/>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03" w:hRule="atLeast"/>
          <w:jc w:val="center"/>
        </w:trPr>
        <w:tc>
          <w:tcPr>
            <w:tcW w:w="921" w:type="dxa"/>
            <w:vMerge w:val="continue"/>
            <w:noWrap w:val="0"/>
            <w:vAlign w:val="center"/>
          </w:tcPr>
          <w:p>
            <w:pPr>
              <w:jc w:val="left"/>
              <w:rPr>
                <w:rFonts w:ascii="Times New Roman" w:hAnsi="Times New Roman" w:eastAsia="仿宋_GB2312"/>
                <w:color w:val="000000"/>
                <w:sz w:val="20"/>
                <w:szCs w:val="20"/>
              </w:rPr>
            </w:pPr>
          </w:p>
        </w:tc>
        <w:tc>
          <w:tcPr>
            <w:tcW w:w="1085" w:type="dxa"/>
            <w:vMerge w:val="continue"/>
            <w:noWrap w:val="0"/>
            <w:vAlign w:val="center"/>
          </w:tcPr>
          <w:p>
            <w:pPr>
              <w:jc w:val="center"/>
              <w:rPr>
                <w:rFonts w:ascii="Times New Roman" w:hAnsi="Times New Roman" w:eastAsia="仿宋_GB2312"/>
                <w:color w:val="000000"/>
                <w:sz w:val="20"/>
                <w:szCs w:val="20"/>
              </w:rPr>
            </w:pPr>
          </w:p>
        </w:tc>
        <w:tc>
          <w:tcPr>
            <w:tcW w:w="1085" w:type="dxa"/>
            <w:vMerge w:val="continue"/>
            <w:noWrap w:val="0"/>
            <w:vAlign w:val="center"/>
          </w:tcPr>
          <w:p>
            <w:pPr>
              <w:jc w:val="center"/>
              <w:rPr>
                <w:rFonts w:ascii="Times New Roman" w:hAnsi="Times New Roman" w:eastAsia="仿宋_GB2312"/>
                <w:color w:val="000000"/>
                <w:sz w:val="20"/>
                <w:szCs w:val="20"/>
              </w:rPr>
            </w:pPr>
          </w:p>
        </w:tc>
        <w:tc>
          <w:tcPr>
            <w:tcW w:w="1230" w:type="dxa"/>
            <w:noWrap w:val="0"/>
            <w:vAlign w:val="center"/>
          </w:tcPr>
          <w:p>
            <w:pPr>
              <w:jc w:val="left"/>
              <w:rPr>
                <w:rFonts w:hint="eastAsia" w:ascii="Times New Roman" w:hAnsi="Times New Roman" w:eastAsia="仿宋"/>
                <w:color w:val="000000"/>
                <w:sz w:val="20"/>
                <w:szCs w:val="20"/>
              </w:rPr>
            </w:pPr>
            <w:r>
              <w:rPr>
                <w:rFonts w:hint="eastAsia" w:eastAsia="仿宋" w:cs="仿宋"/>
                <w:sz w:val="20"/>
                <w:szCs w:val="20"/>
              </w:rPr>
              <w:t>园林绿化管护工作完成率</w:t>
            </w:r>
          </w:p>
        </w:tc>
        <w:tc>
          <w:tcPr>
            <w:tcW w:w="1140" w:type="dxa"/>
            <w:noWrap w:val="0"/>
            <w:vAlign w:val="center"/>
          </w:tcPr>
          <w:p>
            <w:pPr>
              <w:jc w:val="left"/>
              <w:rPr>
                <w:rFonts w:ascii="Times New Roman" w:hAnsi="Times New Roman" w:eastAsia="仿宋_GB2312"/>
                <w:color w:val="000000"/>
                <w:sz w:val="20"/>
                <w:szCs w:val="20"/>
              </w:rPr>
            </w:pPr>
            <w:r>
              <w:rPr>
                <w:rFonts w:hint="eastAsia" w:ascii="Times New Roman" w:hAnsi="Times New Roman" w:eastAsia="仿宋_GB2312"/>
                <w:color w:val="000000"/>
                <w:sz w:val="20"/>
                <w:szCs w:val="20"/>
              </w:rPr>
              <w:t>95%</w:t>
            </w:r>
          </w:p>
        </w:tc>
        <w:tc>
          <w:tcPr>
            <w:tcW w:w="1140" w:type="dxa"/>
            <w:noWrap w:val="0"/>
            <w:vAlign w:val="center"/>
          </w:tcPr>
          <w:p>
            <w:pPr>
              <w:jc w:val="left"/>
              <w:rPr>
                <w:rFonts w:ascii="Times New Roman" w:hAnsi="Times New Roman" w:eastAsia="仿宋_GB2312"/>
                <w:color w:val="000000"/>
                <w:sz w:val="20"/>
                <w:szCs w:val="20"/>
              </w:rPr>
            </w:pPr>
            <w:r>
              <w:rPr>
                <w:rFonts w:hint="eastAsia" w:ascii="Times New Roman" w:hAnsi="Times New Roman" w:eastAsia="仿宋_GB2312"/>
                <w:color w:val="000000"/>
                <w:sz w:val="20"/>
                <w:szCs w:val="20"/>
              </w:rPr>
              <w:t>95%</w:t>
            </w:r>
          </w:p>
        </w:tc>
        <w:tc>
          <w:tcPr>
            <w:tcW w:w="832" w:type="dxa"/>
            <w:noWrap w:val="0"/>
            <w:vAlign w:val="center"/>
          </w:tcPr>
          <w:p>
            <w:pPr>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2</w:t>
            </w:r>
          </w:p>
        </w:tc>
        <w:tc>
          <w:tcPr>
            <w:tcW w:w="877" w:type="dxa"/>
            <w:noWrap w:val="0"/>
            <w:vAlign w:val="center"/>
          </w:tcPr>
          <w:p>
            <w:pPr>
              <w:jc w:val="left"/>
              <w:rPr>
                <w:rFonts w:ascii="Times New Roman" w:hAnsi="Times New Roman" w:eastAsia="仿宋_GB2312"/>
                <w:color w:val="000000"/>
                <w:sz w:val="20"/>
                <w:szCs w:val="20"/>
              </w:rPr>
            </w:pPr>
            <w:r>
              <w:rPr>
                <w:rFonts w:hint="eastAsia" w:ascii="Times New Roman" w:hAnsi="Times New Roman" w:eastAsia="仿宋_GB2312"/>
                <w:color w:val="000000"/>
                <w:sz w:val="20"/>
                <w:szCs w:val="20"/>
              </w:rPr>
              <w:t>2</w:t>
            </w:r>
          </w:p>
        </w:tc>
        <w:tc>
          <w:tcPr>
            <w:tcW w:w="1146" w:type="dxa"/>
            <w:noWrap w:val="0"/>
            <w:vAlign w:val="center"/>
          </w:tcPr>
          <w:p>
            <w:pPr>
              <w:jc w:val="left"/>
              <w:rPr>
                <w:rFonts w:ascii="Times New Roman" w:hAnsi="Times New Roman" w:eastAsia="仿宋_GB2312"/>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3" w:hRule="atLeast"/>
          <w:jc w:val="center"/>
        </w:trPr>
        <w:tc>
          <w:tcPr>
            <w:tcW w:w="921" w:type="dxa"/>
            <w:vMerge w:val="continue"/>
            <w:noWrap w:val="0"/>
            <w:vAlign w:val="center"/>
          </w:tcPr>
          <w:p>
            <w:pPr>
              <w:jc w:val="left"/>
              <w:rPr>
                <w:rFonts w:ascii="Times New Roman" w:hAnsi="Times New Roman" w:eastAsia="仿宋_GB2312"/>
                <w:color w:val="000000"/>
                <w:sz w:val="20"/>
                <w:szCs w:val="20"/>
              </w:rPr>
            </w:pPr>
          </w:p>
        </w:tc>
        <w:tc>
          <w:tcPr>
            <w:tcW w:w="1085" w:type="dxa"/>
            <w:vMerge w:val="continue"/>
            <w:noWrap w:val="0"/>
            <w:vAlign w:val="center"/>
          </w:tcPr>
          <w:p>
            <w:pPr>
              <w:jc w:val="center"/>
              <w:rPr>
                <w:rFonts w:ascii="Times New Roman" w:hAnsi="Times New Roman" w:eastAsia="仿宋_GB2312"/>
                <w:color w:val="000000"/>
                <w:sz w:val="20"/>
                <w:szCs w:val="20"/>
              </w:rPr>
            </w:pPr>
          </w:p>
        </w:tc>
        <w:tc>
          <w:tcPr>
            <w:tcW w:w="1085" w:type="dxa"/>
            <w:vMerge w:val="continue"/>
            <w:noWrap w:val="0"/>
            <w:vAlign w:val="center"/>
          </w:tcPr>
          <w:p>
            <w:pPr>
              <w:jc w:val="center"/>
              <w:rPr>
                <w:rFonts w:ascii="Times New Roman" w:hAnsi="Times New Roman" w:eastAsia="仿宋_GB2312"/>
                <w:color w:val="000000"/>
                <w:sz w:val="20"/>
                <w:szCs w:val="20"/>
              </w:rPr>
            </w:pPr>
          </w:p>
        </w:tc>
        <w:tc>
          <w:tcPr>
            <w:tcW w:w="1230" w:type="dxa"/>
            <w:noWrap w:val="0"/>
            <w:vAlign w:val="center"/>
          </w:tcPr>
          <w:p>
            <w:pPr>
              <w:jc w:val="left"/>
              <w:rPr>
                <w:rFonts w:hint="eastAsia" w:ascii="Times New Roman" w:hAnsi="Times New Roman" w:eastAsia="仿宋"/>
                <w:color w:val="000000"/>
                <w:sz w:val="20"/>
                <w:szCs w:val="20"/>
                <w:lang w:val="en-US" w:eastAsia="zh-CN"/>
              </w:rPr>
            </w:pPr>
            <w:r>
              <w:rPr>
                <w:rFonts w:hint="eastAsia" w:eastAsia="仿宋" w:cs="仿宋"/>
                <w:sz w:val="20"/>
                <w:szCs w:val="20"/>
              </w:rPr>
              <w:t>安保</w:t>
            </w:r>
            <w:r>
              <w:rPr>
                <w:rFonts w:hint="eastAsia" w:eastAsia="仿宋" w:cs="仿宋"/>
                <w:sz w:val="20"/>
                <w:szCs w:val="20"/>
                <w:lang w:val="en-US" w:eastAsia="zh-CN"/>
              </w:rPr>
              <w:t>人数</w:t>
            </w:r>
          </w:p>
        </w:tc>
        <w:tc>
          <w:tcPr>
            <w:tcW w:w="1140" w:type="dxa"/>
            <w:noWrap w:val="0"/>
            <w:vAlign w:val="center"/>
          </w:tcPr>
          <w:p>
            <w:pPr>
              <w:jc w:val="left"/>
              <w:rPr>
                <w:rFonts w:hint="default" w:ascii="Times New Roman" w:hAnsi="Times New Roman" w:eastAsia="仿宋_GB2312"/>
                <w:color w:val="000000"/>
                <w:sz w:val="20"/>
                <w:szCs w:val="20"/>
                <w:lang w:val="en-US" w:eastAsia="zh-CN"/>
              </w:rPr>
            </w:pPr>
            <w:r>
              <w:rPr>
                <w:rFonts w:hint="eastAsia" w:ascii="Times New Roman" w:hAnsi="Times New Roman" w:eastAsia="仿宋_GB2312"/>
                <w:color w:val="000000"/>
                <w:sz w:val="20"/>
                <w:szCs w:val="20"/>
                <w:lang w:val="en-US" w:eastAsia="zh-CN"/>
              </w:rPr>
              <w:t>2人</w:t>
            </w:r>
          </w:p>
        </w:tc>
        <w:tc>
          <w:tcPr>
            <w:tcW w:w="1140" w:type="dxa"/>
            <w:noWrap w:val="0"/>
            <w:vAlign w:val="center"/>
          </w:tcPr>
          <w:p>
            <w:pPr>
              <w:jc w:val="left"/>
              <w:rPr>
                <w:rFonts w:hint="default" w:ascii="Times New Roman" w:hAnsi="Times New Roman" w:eastAsia="仿宋_GB2312"/>
                <w:color w:val="000000"/>
                <w:sz w:val="20"/>
                <w:szCs w:val="20"/>
                <w:lang w:val="en-US" w:eastAsia="zh-CN"/>
              </w:rPr>
            </w:pPr>
            <w:r>
              <w:rPr>
                <w:rFonts w:hint="eastAsia" w:ascii="Times New Roman" w:hAnsi="Times New Roman" w:eastAsia="仿宋_GB2312"/>
                <w:color w:val="000000"/>
                <w:sz w:val="20"/>
                <w:szCs w:val="20"/>
                <w:lang w:val="en-US" w:eastAsia="zh-CN"/>
              </w:rPr>
              <w:t>6人</w:t>
            </w:r>
          </w:p>
        </w:tc>
        <w:tc>
          <w:tcPr>
            <w:tcW w:w="832" w:type="dxa"/>
            <w:noWrap w:val="0"/>
            <w:vAlign w:val="center"/>
          </w:tcPr>
          <w:p>
            <w:pPr>
              <w:jc w:val="left"/>
              <w:rPr>
                <w:rFonts w:hint="eastAsia" w:ascii="Times New Roman" w:hAnsi="Times New Roman" w:eastAsia="仿宋_GB2312"/>
                <w:color w:val="000000"/>
                <w:sz w:val="20"/>
                <w:szCs w:val="20"/>
                <w:lang w:val="en-US" w:eastAsia="zh-CN"/>
              </w:rPr>
            </w:pPr>
            <w:r>
              <w:rPr>
                <w:rFonts w:hint="eastAsia" w:ascii="Times New Roman" w:hAnsi="Times New Roman" w:eastAsia="仿宋_GB2312"/>
                <w:color w:val="000000"/>
                <w:sz w:val="20"/>
                <w:szCs w:val="20"/>
                <w:lang w:val="en-US" w:eastAsia="zh-CN"/>
              </w:rPr>
              <w:t>1</w:t>
            </w:r>
          </w:p>
        </w:tc>
        <w:tc>
          <w:tcPr>
            <w:tcW w:w="877" w:type="dxa"/>
            <w:noWrap w:val="0"/>
            <w:vAlign w:val="center"/>
          </w:tcPr>
          <w:p>
            <w:pPr>
              <w:jc w:val="left"/>
              <w:rPr>
                <w:rFonts w:hint="eastAsia" w:ascii="Times New Roman" w:hAnsi="Times New Roman" w:eastAsia="仿宋_GB2312"/>
                <w:color w:val="000000"/>
                <w:sz w:val="20"/>
                <w:szCs w:val="20"/>
                <w:lang w:val="en-US" w:eastAsia="zh-CN"/>
              </w:rPr>
            </w:pPr>
            <w:r>
              <w:rPr>
                <w:rFonts w:hint="eastAsia" w:ascii="Times New Roman" w:hAnsi="Times New Roman" w:eastAsia="仿宋_GB2312"/>
                <w:color w:val="000000"/>
                <w:sz w:val="20"/>
                <w:szCs w:val="20"/>
                <w:lang w:val="en-US" w:eastAsia="zh-CN"/>
              </w:rPr>
              <w:t>1</w:t>
            </w:r>
          </w:p>
        </w:tc>
        <w:tc>
          <w:tcPr>
            <w:tcW w:w="1146" w:type="dxa"/>
            <w:noWrap w:val="0"/>
            <w:vAlign w:val="center"/>
          </w:tcPr>
          <w:p>
            <w:pPr>
              <w:jc w:val="left"/>
              <w:rPr>
                <w:rFonts w:ascii="Times New Roman" w:hAnsi="Times New Roman" w:eastAsia="仿宋_GB2312"/>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3" w:hRule="atLeast"/>
          <w:jc w:val="center"/>
        </w:trPr>
        <w:tc>
          <w:tcPr>
            <w:tcW w:w="921" w:type="dxa"/>
            <w:vMerge w:val="continue"/>
            <w:noWrap w:val="0"/>
            <w:vAlign w:val="center"/>
          </w:tcPr>
          <w:p>
            <w:pPr>
              <w:jc w:val="left"/>
              <w:rPr>
                <w:rFonts w:ascii="Times New Roman" w:hAnsi="Times New Roman" w:eastAsia="仿宋_GB2312"/>
                <w:color w:val="000000"/>
                <w:sz w:val="20"/>
                <w:szCs w:val="20"/>
              </w:rPr>
            </w:pPr>
          </w:p>
        </w:tc>
        <w:tc>
          <w:tcPr>
            <w:tcW w:w="1085" w:type="dxa"/>
            <w:vMerge w:val="continue"/>
            <w:noWrap w:val="0"/>
            <w:vAlign w:val="center"/>
          </w:tcPr>
          <w:p>
            <w:pPr>
              <w:jc w:val="center"/>
              <w:rPr>
                <w:rFonts w:ascii="Times New Roman" w:hAnsi="Times New Roman" w:eastAsia="仿宋_GB2312"/>
                <w:color w:val="000000"/>
                <w:sz w:val="20"/>
                <w:szCs w:val="20"/>
              </w:rPr>
            </w:pPr>
          </w:p>
        </w:tc>
        <w:tc>
          <w:tcPr>
            <w:tcW w:w="1085" w:type="dxa"/>
            <w:vMerge w:val="continue"/>
            <w:noWrap w:val="0"/>
            <w:vAlign w:val="center"/>
          </w:tcPr>
          <w:p>
            <w:pPr>
              <w:jc w:val="center"/>
              <w:rPr>
                <w:rFonts w:ascii="Times New Roman" w:hAnsi="Times New Roman" w:eastAsia="仿宋_GB2312"/>
                <w:color w:val="000000"/>
                <w:sz w:val="20"/>
                <w:szCs w:val="20"/>
              </w:rPr>
            </w:pPr>
          </w:p>
        </w:tc>
        <w:tc>
          <w:tcPr>
            <w:tcW w:w="1230" w:type="dxa"/>
            <w:noWrap w:val="0"/>
            <w:vAlign w:val="center"/>
          </w:tcPr>
          <w:p>
            <w:pPr>
              <w:jc w:val="left"/>
              <w:rPr>
                <w:rFonts w:hint="eastAsia" w:eastAsia="仿宋" w:cs="仿宋"/>
                <w:sz w:val="20"/>
                <w:szCs w:val="20"/>
              </w:rPr>
            </w:pPr>
            <w:r>
              <w:rPr>
                <w:rFonts w:hint="eastAsia" w:eastAsia="仿宋" w:cs="仿宋"/>
                <w:sz w:val="20"/>
                <w:szCs w:val="20"/>
              </w:rPr>
              <w:t>卫生保洁率</w:t>
            </w:r>
          </w:p>
        </w:tc>
        <w:tc>
          <w:tcPr>
            <w:tcW w:w="1140" w:type="dxa"/>
            <w:noWrap w:val="0"/>
            <w:vAlign w:val="center"/>
          </w:tcPr>
          <w:p>
            <w:pPr>
              <w:jc w:val="left"/>
              <w:rPr>
                <w:rFonts w:hint="eastAsia" w:ascii="Times New Roman" w:hAnsi="Times New Roman" w:eastAsia="仿宋_GB2312"/>
                <w:color w:val="000000"/>
                <w:sz w:val="20"/>
                <w:szCs w:val="20"/>
                <w:lang w:val="en-US" w:eastAsia="zh-CN" w:bidi="ar-SA"/>
              </w:rPr>
            </w:pPr>
            <w:r>
              <w:rPr>
                <w:rFonts w:hint="eastAsia" w:ascii="Times New Roman" w:hAnsi="Times New Roman" w:eastAsia="仿宋_GB2312"/>
                <w:color w:val="000000"/>
                <w:sz w:val="20"/>
                <w:szCs w:val="20"/>
              </w:rPr>
              <w:t>95%</w:t>
            </w:r>
          </w:p>
        </w:tc>
        <w:tc>
          <w:tcPr>
            <w:tcW w:w="1140" w:type="dxa"/>
            <w:noWrap w:val="0"/>
            <w:vAlign w:val="center"/>
          </w:tcPr>
          <w:p>
            <w:pPr>
              <w:jc w:val="left"/>
              <w:rPr>
                <w:rFonts w:hint="eastAsia" w:ascii="Times New Roman" w:hAnsi="Times New Roman" w:eastAsia="仿宋_GB2312"/>
                <w:color w:val="000000"/>
                <w:sz w:val="20"/>
                <w:szCs w:val="20"/>
                <w:lang w:val="en-US" w:eastAsia="zh-CN" w:bidi="ar-SA"/>
              </w:rPr>
            </w:pPr>
            <w:r>
              <w:rPr>
                <w:rFonts w:hint="eastAsia" w:ascii="Times New Roman" w:hAnsi="Times New Roman" w:eastAsia="仿宋_GB2312"/>
                <w:color w:val="000000"/>
                <w:sz w:val="20"/>
                <w:szCs w:val="20"/>
              </w:rPr>
              <w:t>95%</w:t>
            </w:r>
          </w:p>
        </w:tc>
        <w:tc>
          <w:tcPr>
            <w:tcW w:w="832" w:type="dxa"/>
            <w:noWrap w:val="0"/>
            <w:vAlign w:val="center"/>
          </w:tcPr>
          <w:p>
            <w:pPr>
              <w:jc w:val="left"/>
              <w:rPr>
                <w:rFonts w:hint="eastAsia" w:ascii="Times New Roman" w:hAnsi="Times New Roman" w:eastAsia="仿宋_GB2312"/>
                <w:color w:val="000000"/>
                <w:sz w:val="20"/>
                <w:szCs w:val="20"/>
                <w:lang w:val="en-US" w:eastAsia="zh-CN"/>
              </w:rPr>
            </w:pPr>
            <w:r>
              <w:rPr>
                <w:rFonts w:hint="eastAsia" w:ascii="Times New Roman" w:hAnsi="Times New Roman" w:eastAsia="仿宋_GB2312"/>
                <w:color w:val="000000"/>
                <w:sz w:val="20"/>
                <w:szCs w:val="20"/>
                <w:lang w:val="en-US" w:eastAsia="zh-CN"/>
              </w:rPr>
              <w:t>1</w:t>
            </w:r>
          </w:p>
        </w:tc>
        <w:tc>
          <w:tcPr>
            <w:tcW w:w="877" w:type="dxa"/>
            <w:noWrap w:val="0"/>
            <w:vAlign w:val="center"/>
          </w:tcPr>
          <w:p>
            <w:pPr>
              <w:jc w:val="left"/>
              <w:rPr>
                <w:rFonts w:hint="eastAsia" w:ascii="Times New Roman" w:hAnsi="Times New Roman" w:eastAsia="仿宋_GB2312"/>
                <w:color w:val="000000"/>
                <w:sz w:val="20"/>
                <w:szCs w:val="20"/>
                <w:lang w:val="en-US" w:eastAsia="zh-CN"/>
              </w:rPr>
            </w:pPr>
            <w:r>
              <w:rPr>
                <w:rFonts w:hint="eastAsia" w:ascii="Times New Roman" w:hAnsi="Times New Roman" w:eastAsia="仿宋_GB2312"/>
                <w:color w:val="000000"/>
                <w:sz w:val="20"/>
                <w:szCs w:val="20"/>
                <w:lang w:val="en-US" w:eastAsia="zh-CN"/>
              </w:rPr>
              <w:t>1</w:t>
            </w:r>
          </w:p>
        </w:tc>
        <w:tc>
          <w:tcPr>
            <w:tcW w:w="1146" w:type="dxa"/>
            <w:noWrap w:val="0"/>
            <w:vAlign w:val="center"/>
          </w:tcPr>
          <w:p>
            <w:pPr>
              <w:jc w:val="left"/>
              <w:rPr>
                <w:rFonts w:ascii="Times New Roman" w:hAnsi="Times New Roman" w:eastAsia="仿宋_GB2312"/>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03" w:hRule="atLeast"/>
          <w:jc w:val="center"/>
        </w:trPr>
        <w:tc>
          <w:tcPr>
            <w:tcW w:w="921" w:type="dxa"/>
            <w:vMerge w:val="continue"/>
            <w:noWrap w:val="0"/>
            <w:vAlign w:val="center"/>
          </w:tcPr>
          <w:p>
            <w:pPr>
              <w:jc w:val="left"/>
              <w:rPr>
                <w:rFonts w:ascii="Times New Roman" w:hAnsi="Times New Roman" w:eastAsia="仿宋_GB2312"/>
                <w:color w:val="000000"/>
                <w:sz w:val="20"/>
                <w:szCs w:val="20"/>
              </w:rPr>
            </w:pPr>
          </w:p>
        </w:tc>
        <w:tc>
          <w:tcPr>
            <w:tcW w:w="1085" w:type="dxa"/>
            <w:vMerge w:val="continue"/>
            <w:noWrap w:val="0"/>
            <w:vAlign w:val="center"/>
          </w:tcPr>
          <w:p>
            <w:pPr>
              <w:jc w:val="center"/>
              <w:rPr>
                <w:rFonts w:ascii="Times New Roman" w:hAnsi="Times New Roman" w:eastAsia="仿宋_GB2312"/>
                <w:color w:val="000000"/>
                <w:sz w:val="20"/>
                <w:szCs w:val="20"/>
              </w:rPr>
            </w:pPr>
          </w:p>
        </w:tc>
        <w:tc>
          <w:tcPr>
            <w:tcW w:w="1085" w:type="dxa"/>
            <w:vMerge w:val="continue"/>
            <w:noWrap w:val="0"/>
            <w:vAlign w:val="center"/>
          </w:tcPr>
          <w:p>
            <w:pPr>
              <w:jc w:val="center"/>
              <w:rPr>
                <w:rFonts w:ascii="Times New Roman" w:hAnsi="Times New Roman" w:eastAsia="仿宋_GB2312"/>
                <w:color w:val="000000"/>
                <w:sz w:val="20"/>
                <w:szCs w:val="20"/>
              </w:rPr>
            </w:pPr>
          </w:p>
        </w:tc>
        <w:tc>
          <w:tcPr>
            <w:tcW w:w="1230" w:type="dxa"/>
            <w:noWrap w:val="0"/>
            <w:vAlign w:val="center"/>
          </w:tcPr>
          <w:p>
            <w:pPr>
              <w:jc w:val="left"/>
              <w:rPr>
                <w:rFonts w:hint="eastAsia" w:eastAsia="仿宋" w:cs="仿宋"/>
                <w:sz w:val="20"/>
                <w:szCs w:val="20"/>
              </w:rPr>
            </w:pPr>
            <w:r>
              <w:rPr>
                <w:rFonts w:hint="eastAsia" w:eastAsia="仿宋" w:cs="仿宋"/>
                <w:sz w:val="20"/>
                <w:szCs w:val="20"/>
              </w:rPr>
              <w:t>夏明震烈士纪念碑环境整治</w:t>
            </w:r>
          </w:p>
        </w:tc>
        <w:tc>
          <w:tcPr>
            <w:tcW w:w="1140" w:type="dxa"/>
            <w:noWrap w:val="0"/>
            <w:vAlign w:val="center"/>
          </w:tcPr>
          <w:p>
            <w:pPr>
              <w:jc w:val="left"/>
              <w:rPr>
                <w:rFonts w:ascii="Times New Roman" w:hAnsi="Times New Roman" w:eastAsia="仿宋_GB2312"/>
                <w:color w:val="000000"/>
                <w:sz w:val="20"/>
                <w:szCs w:val="20"/>
              </w:rPr>
            </w:pPr>
            <w:r>
              <w:rPr>
                <w:rFonts w:hint="eastAsia" w:ascii="Times New Roman" w:hAnsi="Times New Roman" w:eastAsia="仿宋_GB2312"/>
                <w:color w:val="000000"/>
                <w:sz w:val="20"/>
                <w:szCs w:val="20"/>
              </w:rPr>
              <w:t>95%</w:t>
            </w:r>
          </w:p>
        </w:tc>
        <w:tc>
          <w:tcPr>
            <w:tcW w:w="1140" w:type="dxa"/>
            <w:noWrap w:val="0"/>
            <w:vAlign w:val="center"/>
          </w:tcPr>
          <w:p>
            <w:pPr>
              <w:jc w:val="left"/>
              <w:rPr>
                <w:rFonts w:ascii="Times New Roman" w:hAnsi="Times New Roman" w:eastAsia="仿宋_GB2312"/>
                <w:color w:val="000000"/>
                <w:sz w:val="20"/>
                <w:szCs w:val="20"/>
              </w:rPr>
            </w:pPr>
            <w:r>
              <w:rPr>
                <w:rFonts w:hint="eastAsia" w:ascii="Times New Roman" w:hAnsi="Times New Roman" w:eastAsia="仿宋_GB2312"/>
                <w:color w:val="000000"/>
                <w:sz w:val="20"/>
                <w:szCs w:val="20"/>
              </w:rPr>
              <w:t>95%</w:t>
            </w:r>
          </w:p>
        </w:tc>
        <w:tc>
          <w:tcPr>
            <w:tcW w:w="832" w:type="dxa"/>
            <w:noWrap w:val="0"/>
            <w:vAlign w:val="center"/>
          </w:tcPr>
          <w:p>
            <w:pPr>
              <w:jc w:val="left"/>
              <w:rPr>
                <w:rFonts w:hint="eastAsia" w:ascii="Times New Roman" w:hAnsi="Times New Roman" w:eastAsia="仿宋_GB2312"/>
                <w:color w:val="000000"/>
                <w:sz w:val="20"/>
                <w:szCs w:val="20"/>
                <w:lang w:eastAsia="zh-CN"/>
              </w:rPr>
            </w:pPr>
            <w:r>
              <w:rPr>
                <w:rFonts w:hint="eastAsia" w:ascii="Times New Roman" w:hAnsi="Times New Roman" w:eastAsia="仿宋_GB2312"/>
                <w:color w:val="000000"/>
                <w:sz w:val="20"/>
                <w:szCs w:val="20"/>
                <w:lang w:val="en-US" w:eastAsia="zh-CN"/>
              </w:rPr>
              <w:t>1</w:t>
            </w:r>
          </w:p>
        </w:tc>
        <w:tc>
          <w:tcPr>
            <w:tcW w:w="877" w:type="dxa"/>
            <w:noWrap w:val="0"/>
            <w:vAlign w:val="center"/>
          </w:tcPr>
          <w:p>
            <w:pPr>
              <w:jc w:val="left"/>
              <w:rPr>
                <w:rFonts w:hint="eastAsia" w:ascii="Times New Roman" w:hAnsi="Times New Roman" w:eastAsia="仿宋_GB2312"/>
                <w:color w:val="000000"/>
                <w:sz w:val="20"/>
                <w:szCs w:val="20"/>
                <w:lang w:eastAsia="zh-CN"/>
              </w:rPr>
            </w:pPr>
            <w:r>
              <w:rPr>
                <w:rFonts w:hint="eastAsia" w:ascii="Times New Roman" w:hAnsi="Times New Roman" w:eastAsia="仿宋_GB2312"/>
                <w:color w:val="000000"/>
                <w:sz w:val="20"/>
                <w:szCs w:val="20"/>
                <w:lang w:val="en-US" w:eastAsia="zh-CN"/>
              </w:rPr>
              <w:t>1</w:t>
            </w:r>
          </w:p>
        </w:tc>
        <w:tc>
          <w:tcPr>
            <w:tcW w:w="1146" w:type="dxa"/>
            <w:noWrap w:val="0"/>
            <w:vAlign w:val="center"/>
          </w:tcPr>
          <w:p>
            <w:pPr>
              <w:jc w:val="left"/>
              <w:rPr>
                <w:rFonts w:ascii="Times New Roman" w:hAnsi="Times New Roman" w:eastAsia="仿宋_GB2312"/>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03" w:hRule="atLeast"/>
          <w:jc w:val="center"/>
        </w:trPr>
        <w:tc>
          <w:tcPr>
            <w:tcW w:w="921" w:type="dxa"/>
            <w:vMerge w:val="continue"/>
            <w:noWrap w:val="0"/>
            <w:vAlign w:val="center"/>
          </w:tcPr>
          <w:p>
            <w:pPr>
              <w:jc w:val="left"/>
              <w:rPr>
                <w:rFonts w:ascii="Times New Roman" w:hAnsi="Times New Roman" w:eastAsia="仿宋_GB2312"/>
                <w:color w:val="000000"/>
                <w:sz w:val="20"/>
                <w:szCs w:val="20"/>
              </w:rPr>
            </w:pPr>
          </w:p>
        </w:tc>
        <w:tc>
          <w:tcPr>
            <w:tcW w:w="1085" w:type="dxa"/>
            <w:vMerge w:val="continue"/>
            <w:noWrap w:val="0"/>
            <w:vAlign w:val="center"/>
          </w:tcPr>
          <w:p>
            <w:pPr>
              <w:jc w:val="center"/>
              <w:rPr>
                <w:rFonts w:ascii="Times New Roman" w:hAnsi="Times New Roman" w:eastAsia="仿宋_GB2312"/>
                <w:color w:val="000000"/>
                <w:sz w:val="20"/>
                <w:szCs w:val="20"/>
              </w:rPr>
            </w:pPr>
          </w:p>
        </w:tc>
        <w:tc>
          <w:tcPr>
            <w:tcW w:w="1085" w:type="dxa"/>
            <w:vMerge w:val="continue"/>
            <w:noWrap w:val="0"/>
            <w:vAlign w:val="center"/>
          </w:tcPr>
          <w:p>
            <w:pPr>
              <w:jc w:val="center"/>
              <w:rPr>
                <w:rFonts w:ascii="Times New Roman" w:hAnsi="Times New Roman" w:eastAsia="仿宋_GB2312"/>
                <w:color w:val="000000"/>
                <w:sz w:val="20"/>
                <w:szCs w:val="20"/>
              </w:rPr>
            </w:pPr>
          </w:p>
        </w:tc>
        <w:tc>
          <w:tcPr>
            <w:tcW w:w="1230" w:type="dxa"/>
            <w:noWrap w:val="0"/>
            <w:vAlign w:val="center"/>
          </w:tcPr>
          <w:p>
            <w:pPr>
              <w:jc w:val="left"/>
              <w:rPr>
                <w:rFonts w:hint="eastAsia" w:eastAsia="仿宋" w:cs="仿宋"/>
                <w:sz w:val="20"/>
                <w:szCs w:val="20"/>
              </w:rPr>
            </w:pPr>
            <w:r>
              <w:rPr>
                <w:rFonts w:hint="eastAsia" w:eastAsia="仿宋" w:cs="仿宋"/>
                <w:sz w:val="20"/>
                <w:szCs w:val="20"/>
              </w:rPr>
              <w:t>夏明震烈士纪念碑周边绿化恢复</w:t>
            </w:r>
          </w:p>
        </w:tc>
        <w:tc>
          <w:tcPr>
            <w:tcW w:w="1140" w:type="dxa"/>
            <w:noWrap w:val="0"/>
            <w:vAlign w:val="center"/>
          </w:tcPr>
          <w:p>
            <w:pPr>
              <w:jc w:val="left"/>
              <w:rPr>
                <w:rFonts w:hint="eastAsia" w:ascii="Times New Roman" w:hAnsi="Times New Roman" w:eastAsia="仿宋_GB2312"/>
                <w:color w:val="000000"/>
                <w:sz w:val="20"/>
                <w:szCs w:val="20"/>
                <w:lang w:val="en-US" w:eastAsia="zh-CN" w:bidi="ar-SA"/>
              </w:rPr>
            </w:pPr>
            <w:r>
              <w:rPr>
                <w:rFonts w:hint="eastAsia" w:ascii="Times New Roman" w:hAnsi="Times New Roman" w:eastAsia="仿宋_GB2312"/>
                <w:color w:val="000000"/>
                <w:sz w:val="20"/>
                <w:szCs w:val="20"/>
              </w:rPr>
              <w:t>95%</w:t>
            </w:r>
          </w:p>
        </w:tc>
        <w:tc>
          <w:tcPr>
            <w:tcW w:w="1140" w:type="dxa"/>
            <w:noWrap w:val="0"/>
            <w:vAlign w:val="center"/>
          </w:tcPr>
          <w:p>
            <w:pPr>
              <w:jc w:val="left"/>
              <w:rPr>
                <w:rFonts w:hint="eastAsia" w:ascii="Times New Roman" w:hAnsi="Times New Roman" w:eastAsia="仿宋_GB2312"/>
                <w:color w:val="000000"/>
                <w:sz w:val="20"/>
                <w:szCs w:val="20"/>
                <w:lang w:val="en-US" w:eastAsia="zh-CN" w:bidi="ar-SA"/>
              </w:rPr>
            </w:pPr>
            <w:r>
              <w:rPr>
                <w:rFonts w:hint="eastAsia" w:ascii="Times New Roman" w:hAnsi="Times New Roman" w:eastAsia="仿宋_GB2312"/>
                <w:color w:val="000000"/>
                <w:sz w:val="20"/>
                <w:szCs w:val="20"/>
              </w:rPr>
              <w:t>95%</w:t>
            </w:r>
          </w:p>
        </w:tc>
        <w:tc>
          <w:tcPr>
            <w:tcW w:w="832" w:type="dxa"/>
            <w:noWrap w:val="0"/>
            <w:vAlign w:val="center"/>
          </w:tcPr>
          <w:p>
            <w:pPr>
              <w:jc w:val="left"/>
              <w:rPr>
                <w:rFonts w:hint="eastAsia" w:ascii="Times New Roman" w:hAnsi="Times New Roman" w:eastAsia="仿宋_GB2312"/>
                <w:color w:val="000000"/>
                <w:sz w:val="20"/>
                <w:szCs w:val="20"/>
                <w:lang w:val="en-US" w:eastAsia="zh-CN"/>
              </w:rPr>
            </w:pPr>
            <w:r>
              <w:rPr>
                <w:rFonts w:hint="eastAsia" w:ascii="Times New Roman" w:hAnsi="Times New Roman" w:eastAsia="仿宋_GB2312"/>
                <w:color w:val="000000"/>
                <w:sz w:val="20"/>
                <w:szCs w:val="20"/>
                <w:lang w:val="en-US" w:eastAsia="zh-CN"/>
              </w:rPr>
              <w:t>1</w:t>
            </w:r>
          </w:p>
        </w:tc>
        <w:tc>
          <w:tcPr>
            <w:tcW w:w="877" w:type="dxa"/>
            <w:noWrap w:val="0"/>
            <w:vAlign w:val="center"/>
          </w:tcPr>
          <w:p>
            <w:pPr>
              <w:jc w:val="left"/>
              <w:rPr>
                <w:rFonts w:hint="eastAsia" w:ascii="Times New Roman" w:hAnsi="Times New Roman" w:eastAsia="仿宋_GB2312"/>
                <w:color w:val="000000"/>
                <w:sz w:val="20"/>
                <w:szCs w:val="20"/>
                <w:lang w:val="en-US" w:eastAsia="zh-CN"/>
              </w:rPr>
            </w:pPr>
            <w:r>
              <w:rPr>
                <w:rFonts w:hint="eastAsia" w:ascii="Times New Roman" w:hAnsi="Times New Roman" w:eastAsia="仿宋_GB2312"/>
                <w:color w:val="000000"/>
                <w:sz w:val="20"/>
                <w:szCs w:val="20"/>
                <w:lang w:val="en-US" w:eastAsia="zh-CN"/>
              </w:rPr>
              <w:t>1</w:t>
            </w:r>
          </w:p>
        </w:tc>
        <w:tc>
          <w:tcPr>
            <w:tcW w:w="1146" w:type="dxa"/>
            <w:noWrap w:val="0"/>
            <w:vAlign w:val="center"/>
          </w:tcPr>
          <w:p>
            <w:pPr>
              <w:jc w:val="left"/>
              <w:rPr>
                <w:rFonts w:ascii="Times New Roman" w:hAnsi="Times New Roman" w:eastAsia="仿宋_GB2312"/>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921" w:type="dxa"/>
            <w:vMerge w:val="continue"/>
            <w:noWrap w:val="0"/>
            <w:vAlign w:val="center"/>
          </w:tcPr>
          <w:p>
            <w:pPr>
              <w:jc w:val="left"/>
              <w:rPr>
                <w:rFonts w:ascii="Times New Roman" w:hAnsi="Times New Roman" w:eastAsia="仿宋_GB2312"/>
                <w:color w:val="000000"/>
                <w:sz w:val="20"/>
                <w:szCs w:val="20"/>
              </w:rPr>
            </w:pPr>
          </w:p>
        </w:tc>
        <w:tc>
          <w:tcPr>
            <w:tcW w:w="1085" w:type="dxa"/>
            <w:vMerge w:val="continue"/>
            <w:noWrap w:val="0"/>
            <w:vAlign w:val="center"/>
          </w:tcPr>
          <w:p>
            <w:pPr>
              <w:jc w:val="center"/>
              <w:rPr>
                <w:rFonts w:ascii="Times New Roman" w:hAnsi="Times New Roman" w:eastAsia="仿宋_GB2312"/>
                <w:color w:val="000000"/>
                <w:sz w:val="20"/>
                <w:szCs w:val="20"/>
              </w:rPr>
            </w:pPr>
          </w:p>
        </w:tc>
        <w:tc>
          <w:tcPr>
            <w:tcW w:w="1085" w:type="dxa"/>
            <w:vMerge w:val="continue"/>
            <w:noWrap w:val="0"/>
            <w:vAlign w:val="center"/>
          </w:tcPr>
          <w:p>
            <w:pPr>
              <w:jc w:val="center"/>
              <w:rPr>
                <w:rFonts w:ascii="Times New Roman" w:hAnsi="Times New Roman" w:eastAsia="仿宋_GB2312"/>
                <w:color w:val="000000"/>
                <w:sz w:val="20"/>
                <w:szCs w:val="20"/>
              </w:rPr>
            </w:pPr>
          </w:p>
        </w:tc>
        <w:tc>
          <w:tcPr>
            <w:tcW w:w="1230" w:type="dxa"/>
            <w:noWrap w:val="0"/>
            <w:vAlign w:val="center"/>
          </w:tcPr>
          <w:p>
            <w:pPr>
              <w:jc w:val="left"/>
              <w:rPr>
                <w:rFonts w:hint="eastAsia" w:eastAsia="仿宋" w:cs="仿宋"/>
                <w:sz w:val="20"/>
                <w:szCs w:val="20"/>
              </w:rPr>
            </w:pPr>
            <w:r>
              <w:rPr>
                <w:rFonts w:hint="eastAsia" w:eastAsia="仿宋" w:cs="仿宋"/>
                <w:sz w:val="20"/>
                <w:szCs w:val="20"/>
              </w:rPr>
              <w:t>接待团队游客批次</w:t>
            </w:r>
          </w:p>
        </w:tc>
        <w:tc>
          <w:tcPr>
            <w:tcW w:w="1140" w:type="dxa"/>
            <w:noWrap w:val="0"/>
            <w:vAlign w:val="center"/>
          </w:tcPr>
          <w:p>
            <w:pPr>
              <w:jc w:val="left"/>
              <w:rPr>
                <w:rFonts w:ascii="Times New Roman" w:hAnsi="Times New Roman" w:eastAsia="仿宋_GB2312"/>
                <w:color w:val="000000"/>
                <w:sz w:val="20"/>
                <w:szCs w:val="20"/>
              </w:rPr>
            </w:pPr>
            <w:r>
              <w:rPr>
                <w:rFonts w:hint="eastAsia" w:ascii="Times New Roman" w:hAnsi="Times New Roman" w:eastAsia="仿宋_GB2312"/>
                <w:color w:val="000000"/>
                <w:sz w:val="20"/>
                <w:szCs w:val="20"/>
              </w:rPr>
              <w:t>600批次</w:t>
            </w:r>
          </w:p>
        </w:tc>
        <w:tc>
          <w:tcPr>
            <w:tcW w:w="1140" w:type="dxa"/>
            <w:noWrap w:val="0"/>
            <w:vAlign w:val="center"/>
          </w:tcPr>
          <w:p>
            <w:pPr>
              <w:jc w:val="left"/>
              <w:rPr>
                <w:rFonts w:ascii="Times New Roman" w:hAnsi="Times New Roman" w:eastAsia="仿宋_GB2312"/>
                <w:color w:val="000000"/>
                <w:sz w:val="20"/>
                <w:szCs w:val="20"/>
              </w:rPr>
            </w:pPr>
            <w:r>
              <w:rPr>
                <w:rFonts w:hint="eastAsia" w:ascii="Times New Roman" w:hAnsi="Times New Roman" w:eastAsia="仿宋_GB2312"/>
                <w:color w:val="000000"/>
                <w:sz w:val="20"/>
                <w:szCs w:val="20"/>
              </w:rPr>
              <w:t>＞700批次</w:t>
            </w:r>
          </w:p>
        </w:tc>
        <w:tc>
          <w:tcPr>
            <w:tcW w:w="832" w:type="dxa"/>
            <w:noWrap w:val="0"/>
            <w:vAlign w:val="center"/>
          </w:tcPr>
          <w:p>
            <w:pPr>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 xml:space="preserve">  2</w:t>
            </w:r>
          </w:p>
        </w:tc>
        <w:tc>
          <w:tcPr>
            <w:tcW w:w="877" w:type="dxa"/>
            <w:noWrap w:val="0"/>
            <w:vAlign w:val="center"/>
          </w:tcPr>
          <w:p>
            <w:pPr>
              <w:jc w:val="left"/>
              <w:rPr>
                <w:rFonts w:ascii="Times New Roman" w:hAnsi="Times New Roman" w:eastAsia="仿宋_GB2312"/>
                <w:color w:val="000000"/>
                <w:sz w:val="20"/>
                <w:szCs w:val="20"/>
              </w:rPr>
            </w:pPr>
            <w:r>
              <w:rPr>
                <w:rFonts w:hint="eastAsia" w:ascii="Times New Roman" w:hAnsi="Times New Roman" w:eastAsia="仿宋_GB2312"/>
                <w:color w:val="000000"/>
                <w:sz w:val="20"/>
                <w:szCs w:val="20"/>
              </w:rPr>
              <w:t xml:space="preserve">  2</w:t>
            </w:r>
          </w:p>
        </w:tc>
        <w:tc>
          <w:tcPr>
            <w:tcW w:w="1146" w:type="dxa"/>
            <w:noWrap w:val="0"/>
            <w:vAlign w:val="center"/>
          </w:tcPr>
          <w:p>
            <w:pPr>
              <w:jc w:val="left"/>
              <w:rPr>
                <w:rFonts w:ascii="Times New Roman" w:hAnsi="Times New Roman" w:eastAsia="仿宋_GB2312"/>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23" w:hRule="atLeast"/>
          <w:jc w:val="center"/>
        </w:trPr>
        <w:tc>
          <w:tcPr>
            <w:tcW w:w="921" w:type="dxa"/>
            <w:vMerge w:val="continue"/>
            <w:noWrap w:val="0"/>
            <w:vAlign w:val="center"/>
          </w:tcPr>
          <w:p>
            <w:pPr>
              <w:jc w:val="left"/>
              <w:rPr>
                <w:rFonts w:ascii="Times New Roman" w:hAnsi="Times New Roman" w:eastAsia="仿宋_GB2312"/>
                <w:color w:val="000000"/>
                <w:sz w:val="20"/>
                <w:szCs w:val="20"/>
              </w:rPr>
            </w:pPr>
          </w:p>
        </w:tc>
        <w:tc>
          <w:tcPr>
            <w:tcW w:w="1085" w:type="dxa"/>
            <w:vMerge w:val="continue"/>
            <w:noWrap w:val="0"/>
            <w:vAlign w:val="center"/>
          </w:tcPr>
          <w:p>
            <w:pPr>
              <w:jc w:val="center"/>
              <w:rPr>
                <w:rFonts w:ascii="Times New Roman" w:hAnsi="Times New Roman" w:eastAsia="仿宋_GB2312"/>
                <w:color w:val="000000"/>
                <w:sz w:val="20"/>
                <w:szCs w:val="20"/>
              </w:rPr>
            </w:pPr>
          </w:p>
        </w:tc>
        <w:tc>
          <w:tcPr>
            <w:tcW w:w="1085" w:type="dxa"/>
            <w:vMerge w:val="continue"/>
            <w:noWrap w:val="0"/>
            <w:vAlign w:val="center"/>
          </w:tcPr>
          <w:p>
            <w:pPr>
              <w:jc w:val="center"/>
              <w:rPr>
                <w:rFonts w:ascii="Times New Roman" w:hAnsi="Times New Roman" w:eastAsia="仿宋_GB2312"/>
                <w:color w:val="000000"/>
                <w:sz w:val="20"/>
                <w:szCs w:val="20"/>
              </w:rPr>
            </w:pPr>
          </w:p>
        </w:tc>
        <w:tc>
          <w:tcPr>
            <w:tcW w:w="1230" w:type="dxa"/>
            <w:noWrap w:val="0"/>
            <w:vAlign w:val="center"/>
          </w:tcPr>
          <w:p>
            <w:pPr>
              <w:jc w:val="left"/>
              <w:rPr>
                <w:rFonts w:hint="eastAsia" w:eastAsia="仿宋" w:cs="仿宋"/>
                <w:sz w:val="20"/>
                <w:szCs w:val="20"/>
              </w:rPr>
            </w:pPr>
            <w:r>
              <w:rPr>
                <w:rFonts w:hint="eastAsia" w:eastAsia="仿宋" w:cs="仿宋"/>
                <w:sz w:val="20"/>
                <w:szCs w:val="20"/>
              </w:rPr>
              <w:t>宣教讲解场次</w:t>
            </w:r>
          </w:p>
        </w:tc>
        <w:tc>
          <w:tcPr>
            <w:tcW w:w="1140" w:type="dxa"/>
            <w:noWrap w:val="0"/>
            <w:vAlign w:val="center"/>
          </w:tcPr>
          <w:p>
            <w:pPr>
              <w:jc w:val="left"/>
              <w:rPr>
                <w:rFonts w:ascii="Times New Roman" w:hAnsi="Times New Roman" w:eastAsia="仿宋_GB2312"/>
                <w:color w:val="000000"/>
                <w:sz w:val="20"/>
                <w:szCs w:val="20"/>
              </w:rPr>
            </w:pPr>
            <w:r>
              <w:rPr>
                <w:rFonts w:hint="eastAsia" w:ascii="Times New Roman" w:hAnsi="Times New Roman" w:eastAsia="仿宋_GB2312"/>
                <w:color w:val="000000"/>
                <w:sz w:val="20"/>
                <w:szCs w:val="20"/>
              </w:rPr>
              <w:t>800场次</w:t>
            </w:r>
          </w:p>
        </w:tc>
        <w:tc>
          <w:tcPr>
            <w:tcW w:w="1140" w:type="dxa"/>
            <w:noWrap w:val="0"/>
            <w:vAlign w:val="center"/>
          </w:tcPr>
          <w:p>
            <w:pPr>
              <w:jc w:val="left"/>
              <w:rPr>
                <w:rFonts w:ascii="Times New Roman" w:hAnsi="Times New Roman" w:eastAsia="仿宋_GB2312"/>
                <w:color w:val="000000"/>
                <w:sz w:val="20"/>
                <w:szCs w:val="20"/>
              </w:rPr>
            </w:pPr>
            <w:r>
              <w:rPr>
                <w:rFonts w:hint="eastAsia" w:ascii="Times New Roman" w:hAnsi="Times New Roman" w:eastAsia="仿宋_GB2312"/>
                <w:color w:val="000000"/>
                <w:sz w:val="20"/>
                <w:szCs w:val="20"/>
              </w:rPr>
              <w:t>＞1000场次</w:t>
            </w:r>
          </w:p>
        </w:tc>
        <w:tc>
          <w:tcPr>
            <w:tcW w:w="832" w:type="dxa"/>
            <w:noWrap w:val="0"/>
            <w:vAlign w:val="center"/>
          </w:tcPr>
          <w:p>
            <w:pPr>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 xml:space="preserve">  2</w:t>
            </w:r>
          </w:p>
        </w:tc>
        <w:tc>
          <w:tcPr>
            <w:tcW w:w="877" w:type="dxa"/>
            <w:noWrap w:val="0"/>
            <w:vAlign w:val="center"/>
          </w:tcPr>
          <w:p>
            <w:pPr>
              <w:jc w:val="left"/>
              <w:rPr>
                <w:rFonts w:ascii="Times New Roman" w:hAnsi="Times New Roman" w:eastAsia="仿宋_GB2312"/>
                <w:color w:val="000000"/>
                <w:sz w:val="20"/>
                <w:szCs w:val="20"/>
              </w:rPr>
            </w:pPr>
            <w:r>
              <w:rPr>
                <w:rFonts w:hint="eastAsia" w:ascii="Times New Roman" w:hAnsi="Times New Roman" w:eastAsia="仿宋_GB2312"/>
                <w:color w:val="000000"/>
                <w:sz w:val="20"/>
                <w:szCs w:val="20"/>
              </w:rPr>
              <w:t xml:space="preserve">  2</w:t>
            </w:r>
          </w:p>
        </w:tc>
        <w:tc>
          <w:tcPr>
            <w:tcW w:w="1146" w:type="dxa"/>
            <w:noWrap w:val="0"/>
            <w:vAlign w:val="center"/>
          </w:tcPr>
          <w:p>
            <w:pPr>
              <w:jc w:val="left"/>
              <w:rPr>
                <w:rFonts w:ascii="Times New Roman" w:hAnsi="Times New Roman" w:eastAsia="仿宋_GB2312"/>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3" w:hRule="atLeast"/>
          <w:jc w:val="center"/>
        </w:trPr>
        <w:tc>
          <w:tcPr>
            <w:tcW w:w="921" w:type="dxa"/>
            <w:vMerge w:val="continue"/>
            <w:noWrap w:val="0"/>
            <w:vAlign w:val="center"/>
          </w:tcPr>
          <w:p>
            <w:pPr>
              <w:jc w:val="left"/>
              <w:rPr>
                <w:rFonts w:ascii="Times New Roman" w:hAnsi="Times New Roman" w:eastAsia="仿宋_GB2312"/>
                <w:color w:val="000000"/>
                <w:sz w:val="20"/>
                <w:szCs w:val="20"/>
              </w:rPr>
            </w:pPr>
          </w:p>
        </w:tc>
        <w:tc>
          <w:tcPr>
            <w:tcW w:w="1085" w:type="dxa"/>
            <w:vMerge w:val="continue"/>
            <w:noWrap w:val="0"/>
            <w:vAlign w:val="center"/>
          </w:tcPr>
          <w:p>
            <w:pPr>
              <w:jc w:val="center"/>
              <w:rPr>
                <w:rFonts w:ascii="Times New Roman" w:hAnsi="Times New Roman" w:eastAsia="仿宋_GB2312"/>
                <w:color w:val="000000"/>
                <w:sz w:val="20"/>
                <w:szCs w:val="20"/>
              </w:rPr>
            </w:pPr>
          </w:p>
        </w:tc>
        <w:tc>
          <w:tcPr>
            <w:tcW w:w="1085" w:type="dxa"/>
            <w:vMerge w:val="continue"/>
            <w:noWrap w:val="0"/>
            <w:vAlign w:val="center"/>
          </w:tcPr>
          <w:p>
            <w:pPr>
              <w:jc w:val="center"/>
              <w:rPr>
                <w:rFonts w:ascii="Times New Roman" w:hAnsi="Times New Roman" w:eastAsia="仿宋_GB2312"/>
                <w:color w:val="000000"/>
                <w:sz w:val="20"/>
                <w:szCs w:val="20"/>
              </w:rPr>
            </w:pPr>
          </w:p>
        </w:tc>
        <w:tc>
          <w:tcPr>
            <w:tcW w:w="1230" w:type="dxa"/>
            <w:noWrap w:val="0"/>
            <w:vAlign w:val="center"/>
          </w:tcPr>
          <w:p>
            <w:pPr>
              <w:jc w:val="left"/>
              <w:rPr>
                <w:rFonts w:hint="eastAsia" w:eastAsia="仿宋" w:cs="仿宋"/>
                <w:sz w:val="20"/>
                <w:szCs w:val="20"/>
              </w:rPr>
            </w:pPr>
            <w:r>
              <w:rPr>
                <w:rFonts w:hint="eastAsia" w:eastAsia="仿宋" w:cs="仿宋"/>
                <w:sz w:val="20"/>
                <w:szCs w:val="20"/>
              </w:rPr>
              <w:t>开展清明.祭英烈活动</w:t>
            </w:r>
          </w:p>
        </w:tc>
        <w:tc>
          <w:tcPr>
            <w:tcW w:w="1140" w:type="dxa"/>
            <w:noWrap w:val="0"/>
            <w:vAlign w:val="center"/>
          </w:tcPr>
          <w:p>
            <w:pPr>
              <w:jc w:val="left"/>
              <w:rPr>
                <w:rFonts w:ascii="Times New Roman" w:hAnsi="Times New Roman" w:eastAsia="仿宋_GB2312"/>
                <w:color w:val="000000"/>
                <w:sz w:val="20"/>
                <w:szCs w:val="20"/>
              </w:rPr>
            </w:pPr>
            <w:r>
              <w:rPr>
                <w:rFonts w:hint="eastAsia" w:ascii="Times New Roman" w:hAnsi="Times New Roman" w:eastAsia="仿宋_GB2312"/>
                <w:color w:val="000000"/>
                <w:sz w:val="20"/>
                <w:szCs w:val="20"/>
              </w:rPr>
              <w:t>160次</w:t>
            </w:r>
          </w:p>
        </w:tc>
        <w:tc>
          <w:tcPr>
            <w:tcW w:w="1140" w:type="dxa"/>
            <w:noWrap w:val="0"/>
            <w:vAlign w:val="center"/>
          </w:tcPr>
          <w:p>
            <w:pPr>
              <w:jc w:val="left"/>
              <w:rPr>
                <w:rFonts w:ascii="Times New Roman" w:hAnsi="Times New Roman" w:eastAsia="仿宋_GB2312"/>
                <w:color w:val="000000"/>
                <w:sz w:val="20"/>
                <w:szCs w:val="20"/>
              </w:rPr>
            </w:pPr>
            <w:r>
              <w:rPr>
                <w:rFonts w:hint="eastAsia" w:ascii="Times New Roman" w:hAnsi="Times New Roman" w:eastAsia="仿宋_GB2312"/>
                <w:color w:val="000000"/>
                <w:sz w:val="20"/>
                <w:szCs w:val="20"/>
              </w:rPr>
              <w:t>190次</w:t>
            </w:r>
          </w:p>
        </w:tc>
        <w:tc>
          <w:tcPr>
            <w:tcW w:w="832" w:type="dxa"/>
            <w:noWrap w:val="0"/>
            <w:vAlign w:val="center"/>
          </w:tcPr>
          <w:p>
            <w:pPr>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 xml:space="preserve">  2</w:t>
            </w:r>
          </w:p>
        </w:tc>
        <w:tc>
          <w:tcPr>
            <w:tcW w:w="877" w:type="dxa"/>
            <w:noWrap w:val="0"/>
            <w:vAlign w:val="center"/>
          </w:tcPr>
          <w:p>
            <w:pPr>
              <w:jc w:val="left"/>
              <w:rPr>
                <w:rFonts w:ascii="Times New Roman" w:hAnsi="Times New Roman" w:eastAsia="仿宋_GB2312"/>
                <w:color w:val="000000"/>
                <w:sz w:val="20"/>
                <w:szCs w:val="20"/>
              </w:rPr>
            </w:pPr>
            <w:r>
              <w:rPr>
                <w:rFonts w:hint="eastAsia" w:ascii="Times New Roman" w:hAnsi="Times New Roman" w:eastAsia="仿宋_GB2312"/>
                <w:color w:val="000000"/>
                <w:sz w:val="20"/>
                <w:szCs w:val="20"/>
              </w:rPr>
              <w:t xml:space="preserve">  2</w:t>
            </w:r>
          </w:p>
        </w:tc>
        <w:tc>
          <w:tcPr>
            <w:tcW w:w="1146" w:type="dxa"/>
            <w:noWrap w:val="0"/>
            <w:vAlign w:val="center"/>
          </w:tcPr>
          <w:p>
            <w:pPr>
              <w:jc w:val="left"/>
              <w:rPr>
                <w:rFonts w:ascii="Times New Roman" w:hAnsi="Times New Roman" w:eastAsia="仿宋_GB2312"/>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03" w:hRule="atLeast"/>
          <w:jc w:val="center"/>
        </w:trPr>
        <w:tc>
          <w:tcPr>
            <w:tcW w:w="921" w:type="dxa"/>
            <w:vMerge w:val="continue"/>
            <w:noWrap w:val="0"/>
            <w:vAlign w:val="center"/>
          </w:tcPr>
          <w:p>
            <w:pPr>
              <w:jc w:val="left"/>
              <w:rPr>
                <w:rFonts w:ascii="Times New Roman" w:hAnsi="Times New Roman" w:eastAsia="仿宋_GB2312"/>
                <w:color w:val="000000"/>
                <w:sz w:val="20"/>
                <w:szCs w:val="20"/>
              </w:rPr>
            </w:pPr>
          </w:p>
        </w:tc>
        <w:tc>
          <w:tcPr>
            <w:tcW w:w="1085" w:type="dxa"/>
            <w:vMerge w:val="continue"/>
            <w:noWrap w:val="0"/>
            <w:vAlign w:val="center"/>
          </w:tcPr>
          <w:p>
            <w:pPr>
              <w:jc w:val="center"/>
              <w:rPr>
                <w:rFonts w:ascii="Times New Roman" w:hAnsi="Times New Roman" w:eastAsia="仿宋_GB2312"/>
                <w:color w:val="000000"/>
                <w:sz w:val="20"/>
                <w:szCs w:val="20"/>
              </w:rPr>
            </w:pPr>
          </w:p>
        </w:tc>
        <w:tc>
          <w:tcPr>
            <w:tcW w:w="1085" w:type="dxa"/>
            <w:vMerge w:val="continue"/>
            <w:noWrap w:val="0"/>
            <w:vAlign w:val="center"/>
          </w:tcPr>
          <w:p>
            <w:pPr>
              <w:jc w:val="center"/>
              <w:rPr>
                <w:rFonts w:ascii="Times New Roman" w:hAnsi="Times New Roman" w:eastAsia="仿宋_GB2312"/>
                <w:color w:val="000000"/>
                <w:sz w:val="20"/>
                <w:szCs w:val="20"/>
              </w:rPr>
            </w:pPr>
          </w:p>
        </w:tc>
        <w:tc>
          <w:tcPr>
            <w:tcW w:w="1230" w:type="dxa"/>
            <w:noWrap w:val="0"/>
            <w:vAlign w:val="center"/>
          </w:tcPr>
          <w:p>
            <w:pPr>
              <w:jc w:val="left"/>
              <w:rPr>
                <w:rFonts w:hint="eastAsia" w:eastAsia="仿宋" w:cs="仿宋"/>
                <w:sz w:val="20"/>
                <w:szCs w:val="20"/>
              </w:rPr>
            </w:pPr>
            <w:r>
              <w:rPr>
                <w:rFonts w:hint="eastAsia" w:eastAsia="仿宋" w:cs="仿宋"/>
                <w:sz w:val="20"/>
                <w:szCs w:val="20"/>
              </w:rPr>
              <w:t>举办9.30国家公祭日活动</w:t>
            </w:r>
          </w:p>
        </w:tc>
        <w:tc>
          <w:tcPr>
            <w:tcW w:w="1140" w:type="dxa"/>
            <w:noWrap w:val="0"/>
            <w:vAlign w:val="center"/>
          </w:tcPr>
          <w:p>
            <w:pPr>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1次</w:t>
            </w:r>
          </w:p>
        </w:tc>
        <w:tc>
          <w:tcPr>
            <w:tcW w:w="1140" w:type="dxa"/>
            <w:noWrap w:val="0"/>
            <w:vAlign w:val="center"/>
          </w:tcPr>
          <w:p>
            <w:pPr>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1次</w:t>
            </w:r>
          </w:p>
        </w:tc>
        <w:tc>
          <w:tcPr>
            <w:tcW w:w="832" w:type="dxa"/>
            <w:noWrap w:val="0"/>
            <w:vAlign w:val="center"/>
          </w:tcPr>
          <w:p>
            <w:pPr>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 xml:space="preserve">  2</w:t>
            </w:r>
          </w:p>
        </w:tc>
        <w:tc>
          <w:tcPr>
            <w:tcW w:w="877" w:type="dxa"/>
            <w:noWrap w:val="0"/>
            <w:vAlign w:val="center"/>
          </w:tcPr>
          <w:p>
            <w:pPr>
              <w:jc w:val="left"/>
              <w:rPr>
                <w:rFonts w:ascii="Times New Roman" w:hAnsi="Times New Roman" w:eastAsia="仿宋_GB2312"/>
                <w:color w:val="000000"/>
                <w:sz w:val="20"/>
                <w:szCs w:val="20"/>
              </w:rPr>
            </w:pPr>
            <w:r>
              <w:rPr>
                <w:rFonts w:hint="eastAsia" w:ascii="Times New Roman" w:hAnsi="Times New Roman" w:eastAsia="仿宋_GB2312"/>
                <w:color w:val="000000"/>
                <w:sz w:val="20"/>
                <w:szCs w:val="20"/>
              </w:rPr>
              <w:t xml:space="preserve">  2</w:t>
            </w:r>
          </w:p>
        </w:tc>
        <w:tc>
          <w:tcPr>
            <w:tcW w:w="1146" w:type="dxa"/>
            <w:noWrap w:val="0"/>
            <w:vAlign w:val="center"/>
          </w:tcPr>
          <w:p>
            <w:pPr>
              <w:jc w:val="left"/>
              <w:rPr>
                <w:rFonts w:ascii="Times New Roman" w:hAnsi="Times New Roman" w:eastAsia="仿宋_GB2312"/>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ascii="Times New Roman" w:hAnsi="Times New Roman" w:eastAsia="仿宋_GB2312"/>
                <w:color w:val="000000"/>
                <w:sz w:val="20"/>
                <w:szCs w:val="20"/>
              </w:rPr>
            </w:pPr>
          </w:p>
        </w:tc>
        <w:tc>
          <w:tcPr>
            <w:tcW w:w="1085" w:type="dxa"/>
            <w:vMerge w:val="continue"/>
            <w:noWrap w:val="0"/>
            <w:vAlign w:val="center"/>
          </w:tcPr>
          <w:p>
            <w:pPr>
              <w:jc w:val="center"/>
              <w:rPr>
                <w:rFonts w:ascii="Times New Roman" w:hAnsi="Times New Roman" w:eastAsia="仿宋_GB2312"/>
                <w:color w:val="000000"/>
                <w:sz w:val="20"/>
                <w:szCs w:val="20"/>
              </w:rPr>
            </w:pPr>
          </w:p>
        </w:tc>
        <w:tc>
          <w:tcPr>
            <w:tcW w:w="1085" w:type="dxa"/>
            <w:vMerge w:val="continue"/>
            <w:noWrap w:val="0"/>
            <w:vAlign w:val="center"/>
          </w:tcPr>
          <w:p>
            <w:pPr>
              <w:jc w:val="center"/>
              <w:rPr>
                <w:rFonts w:ascii="Times New Roman" w:hAnsi="Times New Roman" w:eastAsia="仿宋_GB2312"/>
                <w:color w:val="000000"/>
                <w:sz w:val="20"/>
                <w:szCs w:val="20"/>
              </w:rPr>
            </w:pPr>
          </w:p>
        </w:tc>
        <w:tc>
          <w:tcPr>
            <w:tcW w:w="1230" w:type="dxa"/>
            <w:noWrap w:val="0"/>
            <w:vAlign w:val="center"/>
          </w:tcPr>
          <w:p>
            <w:pPr>
              <w:jc w:val="left"/>
              <w:rPr>
                <w:rFonts w:hint="eastAsia" w:eastAsia="仿宋" w:cs="仿宋"/>
                <w:sz w:val="20"/>
                <w:szCs w:val="20"/>
              </w:rPr>
            </w:pPr>
            <w:r>
              <w:rPr>
                <w:rFonts w:hint="eastAsia" w:eastAsia="仿宋" w:cs="仿宋"/>
                <w:sz w:val="20"/>
                <w:szCs w:val="20"/>
              </w:rPr>
              <w:t>开展红色文化传承教育活动场次</w:t>
            </w:r>
          </w:p>
        </w:tc>
        <w:tc>
          <w:tcPr>
            <w:tcW w:w="1140" w:type="dxa"/>
            <w:noWrap w:val="0"/>
            <w:vAlign w:val="center"/>
          </w:tcPr>
          <w:p>
            <w:pPr>
              <w:jc w:val="left"/>
              <w:rPr>
                <w:rFonts w:eastAsia="仿宋" w:cs="仿宋"/>
                <w:sz w:val="20"/>
                <w:szCs w:val="20"/>
              </w:rPr>
            </w:pPr>
            <w:r>
              <w:rPr>
                <w:rFonts w:hint="eastAsia" w:eastAsia="仿宋" w:cs="仿宋"/>
                <w:sz w:val="20"/>
                <w:szCs w:val="20"/>
              </w:rPr>
              <w:t xml:space="preserve"> 100场次</w:t>
            </w:r>
          </w:p>
        </w:tc>
        <w:tc>
          <w:tcPr>
            <w:tcW w:w="1140" w:type="dxa"/>
            <w:noWrap w:val="0"/>
            <w:vAlign w:val="center"/>
          </w:tcPr>
          <w:p>
            <w:pPr>
              <w:jc w:val="left"/>
              <w:rPr>
                <w:rFonts w:eastAsia="仿宋" w:cs="仿宋"/>
                <w:sz w:val="20"/>
                <w:szCs w:val="20"/>
              </w:rPr>
            </w:pPr>
            <w:r>
              <w:rPr>
                <w:rFonts w:hint="eastAsia" w:eastAsia="仿宋" w:cs="仿宋"/>
                <w:sz w:val="20"/>
                <w:szCs w:val="20"/>
              </w:rPr>
              <w:t>100余场次</w:t>
            </w:r>
          </w:p>
        </w:tc>
        <w:tc>
          <w:tcPr>
            <w:tcW w:w="832" w:type="dxa"/>
            <w:noWrap w:val="0"/>
            <w:vAlign w:val="center"/>
          </w:tcPr>
          <w:p>
            <w:pPr>
              <w:jc w:val="left"/>
              <w:rPr>
                <w:rFonts w:ascii="Times New Roman" w:hAnsi="Times New Roman" w:eastAsia="仿宋_GB2312"/>
                <w:color w:val="000000"/>
                <w:sz w:val="20"/>
                <w:szCs w:val="20"/>
              </w:rPr>
            </w:pPr>
            <w:r>
              <w:rPr>
                <w:rFonts w:hint="eastAsia" w:ascii="Times New Roman" w:hAnsi="Times New Roman" w:eastAsia="仿宋_GB2312"/>
                <w:color w:val="000000"/>
                <w:sz w:val="20"/>
                <w:szCs w:val="20"/>
              </w:rPr>
              <w:t xml:space="preserve">  2</w:t>
            </w:r>
          </w:p>
        </w:tc>
        <w:tc>
          <w:tcPr>
            <w:tcW w:w="877" w:type="dxa"/>
            <w:noWrap w:val="0"/>
            <w:vAlign w:val="center"/>
          </w:tcPr>
          <w:p>
            <w:pPr>
              <w:jc w:val="left"/>
              <w:rPr>
                <w:rFonts w:ascii="Times New Roman" w:hAnsi="Times New Roman" w:eastAsia="仿宋_GB2312"/>
                <w:color w:val="000000"/>
                <w:sz w:val="20"/>
                <w:szCs w:val="20"/>
              </w:rPr>
            </w:pPr>
            <w:r>
              <w:rPr>
                <w:rFonts w:hint="eastAsia" w:ascii="Times New Roman" w:hAnsi="Times New Roman" w:eastAsia="仿宋_GB2312"/>
                <w:color w:val="000000"/>
                <w:sz w:val="20"/>
                <w:szCs w:val="20"/>
              </w:rPr>
              <w:t xml:space="preserve">  2</w:t>
            </w:r>
          </w:p>
        </w:tc>
        <w:tc>
          <w:tcPr>
            <w:tcW w:w="1146" w:type="dxa"/>
            <w:noWrap w:val="0"/>
            <w:vAlign w:val="center"/>
          </w:tcPr>
          <w:p>
            <w:pPr>
              <w:jc w:val="left"/>
              <w:rPr>
                <w:rFonts w:ascii="Times New Roman" w:hAnsi="Times New Roman" w:eastAsia="仿宋_GB2312"/>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ascii="Times New Roman" w:hAnsi="Times New Roman" w:eastAsia="仿宋_GB2312"/>
                <w:color w:val="000000"/>
                <w:sz w:val="20"/>
                <w:szCs w:val="20"/>
              </w:rPr>
            </w:pPr>
          </w:p>
        </w:tc>
        <w:tc>
          <w:tcPr>
            <w:tcW w:w="1085" w:type="dxa"/>
            <w:vMerge w:val="continue"/>
            <w:noWrap w:val="0"/>
            <w:vAlign w:val="center"/>
          </w:tcPr>
          <w:p>
            <w:pPr>
              <w:jc w:val="center"/>
              <w:rPr>
                <w:rFonts w:ascii="Times New Roman" w:hAnsi="Times New Roman" w:eastAsia="仿宋_GB2312"/>
                <w:color w:val="000000"/>
                <w:sz w:val="20"/>
                <w:szCs w:val="20"/>
              </w:rPr>
            </w:pPr>
          </w:p>
        </w:tc>
        <w:tc>
          <w:tcPr>
            <w:tcW w:w="1085" w:type="dxa"/>
            <w:vMerge w:val="restart"/>
            <w:noWrap w:val="0"/>
            <w:vAlign w:val="center"/>
          </w:tcPr>
          <w:p>
            <w:pPr>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质量指标</w:t>
            </w:r>
          </w:p>
        </w:tc>
        <w:tc>
          <w:tcPr>
            <w:tcW w:w="1230" w:type="dxa"/>
            <w:noWrap w:val="0"/>
            <w:vAlign w:val="center"/>
          </w:tcPr>
          <w:p>
            <w:pPr>
              <w:jc w:val="left"/>
              <w:rPr>
                <w:rFonts w:hint="eastAsia" w:eastAsia="仿宋" w:cs="仿宋"/>
                <w:sz w:val="20"/>
                <w:szCs w:val="20"/>
              </w:rPr>
            </w:pPr>
            <w:r>
              <w:rPr>
                <w:rFonts w:hint="eastAsia" w:eastAsia="仿宋" w:cs="仿宋"/>
                <w:sz w:val="20"/>
                <w:szCs w:val="20"/>
              </w:rPr>
              <w:t>场馆及园区运行维护各项工作验收合格率</w:t>
            </w:r>
          </w:p>
        </w:tc>
        <w:tc>
          <w:tcPr>
            <w:tcW w:w="1140" w:type="dxa"/>
            <w:noWrap w:val="0"/>
            <w:vAlign w:val="center"/>
          </w:tcPr>
          <w:p>
            <w:pPr>
              <w:jc w:val="left"/>
              <w:rPr>
                <w:rFonts w:eastAsia="仿宋" w:cs="仿宋"/>
                <w:sz w:val="20"/>
                <w:szCs w:val="20"/>
              </w:rPr>
            </w:pPr>
            <w:r>
              <w:rPr>
                <w:rFonts w:eastAsia="仿宋" w:cs="仿宋"/>
                <w:sz w:val="20"/>
                <w:szCs w:val="20"/>
              </w:rPr>
              <w:t>　</w:t>
            </w:r>
            <w:r>
              <w:rPr>
                <w:rFonts w:hint="eastAsia" w:eastAsia="仿宋" w:cs="仿宋"/>
                <w:sz w:val="20"/>
                <w:szCs w:val="20"/>
              </w:rPr>
              <w:t>95%</w:t>
            </w:r>
          </w:p>
        </w:tc>
        <w:tc>
          <w:tcPr>
            <w:tcW w:w="1140" w:type="dxa"/>
            <w:noWrap w:val="0"/>
            <w:vAlign w:val="center"/>
          </w:tcPr>
          <w:p>
            <w:pPr>
              <w:jc w:val="left"/>
              <w:rPr>
                <w:rFonts w:eastAsia="仿宋" w:cs="仿宋"/>
                <w:sz w:val="20"/>
                <w:szCs w:val="20"/>
              </w:rPr>
            </w:pPr>
            <w:r>
              <w:rPr>
                <w:rFonts w:eastAsia="仿宋" w:cs="仿宋"/>
                <w:sz w:val="20"/>
                <w:szCs w:val="20"/>
              </w:rPr>
              <w:t>　</w:t>
            </w:r>
            <w:r>
              <w:rPr>
                <w:rFonts w:hint="eastAsia" w:eastAsia="仿宋" w:cs="仿宋"/>
                <w:sz w:val="20"/>
                <w:szCs w:val="20"/>
              </w:rPr>
              <w:t>95%</w:t>
            </w:r>
          </w:p>
        </w:tc>
        <w:tc>
          <w:tcPr>
            <w:tcW w:w="832" w:type="dxa"/>
            <w:noWrap w:val="0"/>
            <w:vAlign w:val="center"/>
          </w:tcPr>
          <w:p>
            <w:pPr>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2</w:t>
            </w:r>
          </w:p>
        </w:tc>
        <w:tc>
          <w:tcPr>
            <w:tcW w:w="877" w:type="dxa"/>
            <w:noWrap w:val="0"/>
            <w:vAlign w:val="center"/>
          </w:tcPr>
          <w:p>
            <w:pPr>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2</w:t>
            </w:r>
          </w:p>
        </w:tc>
        <w:tc>
          <w:tcPr>
            <w:tcW w:w="1146" w:type="dxa"/>
            <w:noWrap w:val="0"/>
            <w:vAlign w:val="center"/>
          </w:tcPr>
          <w:p>
            <w:pPr>
              <w:jc w:val="left"/>
              <w:rPr>
                <w:rFonts w:hint="eastAsia"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ascii="Times New Roman" w:hAnsi="Times New Roman" w:eastAsia="仿宋_GB2312"/>
                <w:color w:val="000000"/>
                <w:sz w:val="20"/>
                <w:szCs w:val="20"/>
              </w:rPr>
            </w:pPr>
          </w:p>
        </w:tc>
        <w:tc>
          <w:tcPr>
            <w:tcW w:w="1085" w:type="dxa"/>
            <w:vMerge w:val="continue"/>
            <w:noWrap w:val="0"/>
            <w:vAlign w:val="center"/>
          </w:tcPr>
          <w:p>
            <w:pPr>
              <w:jc w:val="center"/>
              <w:rPr>
                <w:rFonts w:ascii="Times New Roman" w:hAnsi="Times New Roman" w:eastAsia="仿宋_GB2312"/>
                <w:color w:val="000000"/>
                <w:sz w:val="20"/>
                <w:szCs w:val="20"/>
              </w:rPr>
            </w:pPr>
          </w:p>
        </w:tc>
        <w:tc>
          <w:tcPr>
            <w:tcW w:w="1085" w:type="dxa"/>
            <w:vMerge w:val="continue"/>
            <w:noWrap w:val="0"/>
            <w:vAlign w:val="center"/>
          </w:tcPr>
          <w:p>
            <w:pPr>
              <w:jc w:val="center"/>
              <w:rPr>
                <w:rFonts w:ascii="Times New Roman" w:hAnsi="Times New Roman" w:eastAsia="仿宋_GB2312"/>
                <w:color w:val="000000"/>
                <w:sz w:val="20"/>
                <w:szCs w:val="20"/>
              </w:rPr>
            </w:pPr>
          </w:p>
        </w:tc>
        <w:tc>
          <w:tcPr>
            <w:tcW w:w="1230" w:type="dxa"/>
            <w:noWrap w:val="0"/>
            <w:vAlign w:val="center"/>
          </w:tcPr>
          <w:p>
            <w:pPr>
              <w:jc w:val="left"/>
              <w:rPr>
                <w:rFonts w:hint="eastAsia" w:eastAsia="仿宋" w:cs="仿宋"/>
                <w:sz w:val="20"/>
                <w:szCs w:val="20"/>
              </w:rPr>
            </w:pPr>
            <w:r>
              <w:rPr>
                <w:rFonts w:hint="eastAsia" w:eastAsia="仿宋" w:cs="仿宋"/>
                <w:sz w:val="20"/>
                <w:szCs w:val="20"/>
              </w:rPr>
              <w:t>纪念馆免费接待团队游客</w:t>
            </w:r>
          </w:p>
        </w:tc>
        <w:tc>
          <w:tcPr>
            <w:tcW w:w="1140" w:type="dxa"/>
            <w:noWrap w:val="0"/>
            <w:vAlign w:val="center"/>
          </w:tcPr>
          <w:p>
            <w:pPr>
              <w:jc w:val="left"/>
              <w:rPr>
                <w:rFonts w:eastAsia="仿宋" w:cs="仿宋"/>
                <w:sz w:val="20"/>
                <w:szCs w:val="20"/>
              </w:rPr>
            </w:pPr>
            <w:r>
              <w:rPr>
                <w:rFonts w:hint="eastAsia" w:eastAsia="仿宋" w:cs="仿宋"/>
                <w:sz w:val="20"/>
                <w:szCs w:val="20"/>
              </w:rPr>
              <w:t>600批次</w:t>
            </w:r>
          </w:p>
        </w:tc>
        <w:tc>
          <w:tcPr>
            <w:tcW w:w="1140" w:type="dxa"/>
            <w:noWrap w:val="0"/>
            <w:vAlign w:val="center"/>
          </w:tcPr>
          <w:p>
            <w:pPr>
              <w:jc w:val="left"/>
              <w:rPr>
                <w:rFonts w:eastAsia="仿宋" w:cs="仿宋"/>
                <w:sz w:val="20"/>
                <w:szCs w:val="20"/>
              </w:rPr>
            </w:pPr>
            <w:r>
              <w:rPr>
                <w:rFonts w:hint="eastAsia" w:eastAsia="仿宋" w:cs="仿宋"/>
                <w:sz w:val="20"/>
                <w:szCs w:val="20"/>
              </w:rPr>
              <w:t>700余批次</w:t>
            </w:r>
          </w:p>
        </w:tc>
        <w:tc>
          <w:tcPr>
            <w:tcW w:w="832" w:type="dxa"/>
            <w:noWrap w:val="0"/>
            <w:vAlign w:val="center"/>
          </w:tcPr>
          <w:p>
            <w:pPr>
              <w:jc w:val="left"/>
              <w:rPr>
                <w:rFonts w:hint="eastAsia" w:eastAsia="仿宋" w:cs="仿宋"/>
                <w:sz w:val="20"/>
                <w:szCs w:val="20"/>
                <w:lang w:eastAsia="zh-CN"/>
              </w:rPr>
            </w:pPr>
            <w:r>
              <w:rPr>
                <w:rFonts w:hint="eastAsia" w:eastAsia="仿宋" w:cs="仿宋"/>
                <w:sz w:val="20"/>
                <w:szCs w:val="20"/>
              </w:rPr>
              <w:t xml:space="preserve">  </w:t>
            </w:r>
            <w:r>
              <w:rPr>
                <w:rFonts w:hint="eastAsia" w:eastAsia="仿宋" w:cs="仿宋"/>
                <w:sz w:val="20"/>
                <w:szCs w:val="20"/>
                <w:lang w:val="en-US" w:eastAsia="zh-CN"/>
              </w:rPr>
              <w:t>1</w:t>
            </w:r>
          </w:p>
        </w:tc>
        <w:tc>
          <w:tcPr>
            <w:tcW w:w="877" w:type="dxa"/>
            <w:noWrap w:val="0"/>
            <w:vAlign w:val="center"/>
          </w:tcPr>
          <w:p>
            <w:pPr>
              <w:jc w:val="left"/>
              <w:rPr>
                <w:rFonts w:hint="eastAsia" w:eastAsia="仿宋" w:cs="仿宋"/>
                <w:sz w:val="20"/>
                <w:szCs w:val="20"/>
                <w:lang w:eastAsia="zh-CN"/>
              </w:rPr>
            </w:pPr>
            <w:r>
              <w:rPr>
                <w:rFonts w:hint="eastAsia" w:eastAsia="仿宋" w:cs="仿宋"/>
                <w:sz w:val="20"/>
                <w:szCs w:val="20"/>
              </w:rPr>
              <w:t xml:space="preserve">  </w:t>
            </w:r>
            <w:r>
              <w:rPr>
                <w:rFonts w:hint="eastAsia" w:eastAsia="仿宋" w:cs="仿宋"/>
                <w:sz w:val="20"/>
                <w:szCs w:val="20"/>
                <w:lang w:val="en-US" w:eastAsia="zh-CN"/>
              </w:rPr>
              <w:t>1</w:t>
            </w:r>
          </w:p>
        </w:tc>
        <w:tc>
          <w:tcPr>
            <w:tcW w:w="1146" w:type="dxa"/>
            <w:noWrap w:val="0"/>
            <w:vAlign w:val="center"/>
          </w:tcPr>
          <w:p>
            <w:pPr>
              <w:jc w:val="left"/>
              <w:rPr>
                <w:rFonts w:eastAsia="仿宋" w:cs="仿宋"/>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ascii="Times New Roman" w:hAnsi="Times New Roman" w:eastAsia="仿宋_GB2312"/>
                <w:color w:val="000000"/>
                <w:sz w:val="20"/>
                <w:szCs w:val="20"/>
              </w:rPr>
            </w:pPr>
          </w:p>
        </w:tc>
        <w:tc>
          <w:tcPr>
            <w:tcW w:w="1085" w:type="dxa"/>
            <w:vMerge w:val="continue"/>
            <w:noWrap w:val="0"/>
            <w:vAlign w:val="center"/>
          </w:tcPr>
          <w:p>
            <w:pPr>
              <w:jc w:val="center"/>
              <w:rPr>
                <w:rFonts w:ascii="Times New Roman" w:hAnsi="Times New Roman" w:eastAsia="仿宋_GB2312"/>
                <w:color w:val="000000"/>
                <w:sz w:val="20"/>
                <w:szCs w:val="20"/>
              </w:rPr>
            </w:pPr>
          </w:p>
        </w:tc>
        <w:tc>
          <w:tcPr>
            <w:tcW w:w="1085" w:type="dxa"/>
            <w:vMerge w:val="continue"/>
            <w:noWrap w:val="0"/>
            <w:vAlign w:val="center"/>
          </w:tcPr>
          <w:p>
            <w:pPr>
              <w:jc w:val="center"/>
              <w:rPr>
                <w:rFonts w:ascii="Times New Roman" w:hAnsi="Times New Roman" w:eastAsia="仿宋_GB2312"/>
                <w:color w:val="000000"/>
                <w:sz w:val="20"/>
                <w:szCs w:val="20"/>
              </w:rPr>
            </w:pPr>
          </w:p>
        </w:tc>
        <w:tc>
          <w:tcPr>
            <w:tcW w:w="1230" w:type="dxa"/>
            <w:noWrap w:val="0"/>
            <w:vAlign w:val="center"/>
          </w:tcPr>
          <w:p>
            <w:pPr>
              <w:jc w:val="left"/>
              <w:rPr>
                <w:rFonts w:hint="eastAsia" w:eastAsia="仿宋" w:cs="仿宋"/>
                <w:sz w:val="20"/>
                <w:szCs w:val="20"/>
              </w:rPr>
            </w:pPr>
            <w:r>
              <w:rPr>
                <w:rFonts w:hint="eastAsia" w:eastAsia="仿宋" w:cs="仿宋"/>
                <w:sz w:val="20"/>
                <w:szCs w:val="20"/>
              </w:rPr>
              <w:t>陈家大屋免费接待团队游客</w:t>
            </w:r>
          </w:p>
        </w:tc>
        <w:tc>
          <w:tcPr>
            <w:tcW w:w="1140" w:type="dxa"/>
            <w:noWrap w:val="0"/>
            <w:vAlign w:val="center"/>
          </w:tcPr>
          <w:p>
            <w:pPr>
              <w:jc w:val="left"/>
              <w:rPr>
                <w:rFonts w:hint="eastAsia" w:ascii="仿宋" w:hAnsi="仿宋" w:eastAsia="仿宋" w:cs="仿宋"/>
                <w:sz w:val="20"/>
                <w:szCs w:val="20"/>
                <w:lang w:val="en-US" w:eastAsia="zh-CN" w:bidi="ar-SA"/>
              </w:rPr>
            </w:pPr>
            <w:r>
              <w:rPr>
                <w:rFonts w:hint="eastAsia" w:eastAsia="仿宋" w:cs="仿宋"/>
                <w:sz w:val="20"/>
                <w:szCs w:val="20"/>
              </w:rPr>
              <w:t>600批次</w:t>
            </w:r>
          </w:p>
        </w:tc>
        <w:tc>
          <w:tcPr>
            <w:tcW w:w="1140" w:type="dxa"/>
            <w:noWrap w:val="0"/>
            <w:vAlign w:val="center"/>
          </w:tcPr>
          <w:p>
            <w:pPr>
              <w:jc w:val="left"/>
              <w:rPr>
                <w:rFonts w:hint="eastAsia" w:ascii="仿宋" w:hAnsi="仿宋" w:eastAsia="仿宋" w:cs="仿宋"/>
                <w:sz w:val="20"/>
                <w:szCs w:val="20"/>
                <w:lang w:val="en-US" w:eastAsia="zh-CN" w:bidi="ar-SA"/>
              </w:rPr>
            </w:pPr>
            <w:r>
              <w:rPr>
                <w:rFonts w:hint="eastAsia" w:eastAsia="仿宋" w:cs="仿宋"/>
                <w:sz w:val="20"/>
                <w:szCs w:val="20"/>
              </w:rPr>
              <w:t>700余批次</w:t>
            </w:r>
          </w:p>
        </w:tc>
        <w:tc>
          <w:tcPr>
            <w:tcW w:w="832" w:type="dxa"/>
            <w:noWrap w:val="0"/>
            <w:vAlign w:val="center"/>
          </w:tcPr>
          <w:p>
            <w:pPr>
              <w:jc w:val="left"/>
              <w:rPr>
                <w:rFonts w:hint="default" w:eastAsia="仿宋" w:cs="仿宋"/>
                <w:sz w:val="20"/>
                <w:szCs w:val="20"/>
                <w:lang w:val="en-US" w:eastAsia="zh-CN"/>
              </w:rPr>
            </w:pPr>
            <w:r>
              <w:rPr>
                <w:rFonts w:hint="eastAsia" w:eastAsia="仿宋" w:cs="仿宋"/>
                <w:sz w:val="20"/>
                <w:szCs w:val="20"/>
                <w:lang w:val="en-US" w:eastAsia="zh-CN"/>
              </w:rPr>
              <w:t xml:space="preserve">  1</w:t>
            </w:r>
          </w:p>
        </w:tc>
        <w:tc>
          <w:tcPr>
            <w:tcW w:w="877" w:type="dxa"/>
            <w:noWrap w:val="0"/>
            <w:vAlign w:val="center"/>
          </w:tcPr>
          <w:p>
            <w:pPr>
              <w:jc w:val="left"/>
              <w:rPr>
                <w:rFonts w:hint="default" w:eastAsia="仿宋" w:cs="仿宋"/>
                <w:sz w:val="20"/>
                <w:szCs w:val="20"/>
                <w:lang w:val="en-US" w:eastAsia="zh-CN"/>
              </w:rPr>
            </w:pPr>
            <w:r>
              <w:rPr>
                <w:rFonts w:hint="eastAsia" w:eastAsia="仿宋" w:cs="仿宋"/>
                <w:sz w:val="20"/>
                <w:szCs w:val="20"/>
                <w:lang w:val="en-US" w:eastAsia="zh-CN"/>
              </w:rPr>
              <w:t xml:space="preserve">  1</w:t>
            </w:r>
          </w:p>
        </w:tc>
        <w:tc>
          <w:tcPr>
            <w:tcW w:w="1146" w:type="dxa"/>
            <w:noWrap w:val="0"/>
            <w:vAlign w:val="center"/>
          </w:tcPr>
          <w:p>
            <w:pPr>
              <w:jc w:val="left"/>
              <w:rPr>
                <w:rFonts w:eastAsia="仿宋" w:cs="仿宋"/>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ascii="Times New Roman" w:hAnsi="Times New Roman" w:eastAsia="仿宋_GB2312"/>
                <w:color w:val="000000"/>
                <w:sz w:val="20"/>
                <w:szCs w:val="20"/>
              </w:rPr>
            </w:pPr>
          </w:p>
        </w:tc>
        <w:tc>
          <w:tcPr>
            <w:tcW w:w="1085" w:type="dxa"/>
            <w:vMerge w:val="continue"/>
            <w:noWrap w:val="0"/>
            <w:vAlign w:val="center"/>
          </w:tcPr>
          <w:p>
            <w:pPr>
              <w:jc w:val="center"/>
              <w:rPr>
                <w:rFonts w:ascii="Times New Roman" w:hAnsi="Times New Roman" w:eastAsia="仿宋_GB2312"/>
                <w:color w:val="000000"/>
                <w:sz w:val="20"/>
                <w:szCs w:val="20"/>
              </w:rPr>
            </w:pPr>
          </w:p>
        </w:tc>
        <w:tc>
          <w:tcPr>
            <w:tcW w:w="1085" w:type="dxa"/>
            <w:vMerge w:val="continue"/>
            <w:noWrap w:val="0"/>
            <w:vAlign w:val="center"/>
          </w:tcPr>
          <w:p>
            <w:pPr>
              <w:jc w:val="center"/>
              <w:rPr>
                <w:rFonts w:ascii="Times New Roman" w:hAnsi="Times New Roman" w:eastAsia="仿宋_GB2312"/>
                <w:color w:val="000000"/>
                <w:sz w:val="20"/>
                <w:szCs w:val="20"/>
              </w:rPr>
            </w:pPr>
          </w:p>
        </w:tc>
        <w:tc>
          <w:tcPr>
            <w:tcW w:w="1230" w:type="dxa"/>
            <w:noWrap w:val="0"/>
            <w:vAlign w:val="center"/>
          </w:tcPr>
          <w:p>
            <w:pPr>
              <w:jc w:val="left"/>
              <w:rPr>
                <w:rFonts w:hint="eastAsia" w:eastAsia="仿宋" w:cs="仿宋"/>
                <w:sz w:val="20"/>
                <w:szCs w:val="20"/>
              </w:rPr>
            </w:pPr>
            <w:r>
              <w:rPr>
                <w:rFonts w:hint="eastAsia" w:eastAsia="仿宋" w:cs="仿宋"/>
                <w:sz w:val="20"/>
                <w:szCs w:val="20"/>
              </w:rPr>
              <w:t>园区绿化日常管护率</w:t>
            </w:r>
          </w:p>
        </w:tc>
        <w:tc>
          <w:tcPr>
            <w:tcW w:w="1140" w:type="dxa"/>
            <w:noWrap w:val="0"/>
            <w:vAlign w:val="center"/>
          </w:tcPr>
          <w:p>
            <w:pPr>
              <w:jc w:val="left"/>
              <w:rPr>
                <w:rFonts w:hint="eastAsia" w:eastAsia="仿宋" w:cs="仿宋"/>
                <w:sz w:val="20"/>
                <w:szCs w:val="20"/>
              </w:rPr>
            </w:pPr>
            <w:r>
              <w:rPr>
                <w:rFonts w:hint="eastAsia" w:eastAsia="仿宋" w:cs="仿宋"/>
                <w:sz w:val="20"/>
                <w:szCs w:val="20"/>
              </w:rPr>
              <w:t xml:space="preserve"> 95%</w:t>
            </w:r>
          </w:p>
        </w:tc>
        <w:tc>
          <w:tcPr>
            <w:tcW w:w="1140" w:type="dxa"/>
            <w:noWrap w:val="0"/>
            <w:vAlign w:val="center"/>
          </w:tcPr>
          <w:p>
            <w:pPr>
              <w:jc w:val="left"/>
              <w:rPr>
                <w:rFonts w:hint="eastAsia" w:eastAsia="仿宋" w:cs="仿宋"/>
                <w:sz w:val="20"/>
                <w:szCs w:val="20"/>
              </w:rPr>
            </w:pPr>
            <w:r>
              <w:rPr>
                <w:rFonts w:hint="eastAsia" w:eastAsia="仿宋" w:cs="仿宋"/>
                <w:sz w:val="20"/>
                <w:szCs w:val="20"/>
              </w:rPr>
              <w:t xml:space="preserve">  95%</w:t>
            </w:r>
          </w:p>
        </w:tc>
        <w:tc>
          <w:tcPr>
            <w:tcW w:w="832" w:type="dxa"/>
            <w:noWrap w:val="0"/>
            <w:vAlign w:val="center"/>
          </w:tcPr>
          <w:p>
            <w:pPr>
              <w:jc w:val="left"/>
              <w:rPr>
                <w:rFonts w:hint="eastAsia" w:eastAsia="仿宋" w:cs="仿宋"/>
                <w:sz w:val="20"/>
                <w:szCs w:val="20"/>
              </w:rPr>
            </w:pPr>
            <w:r>
              <w:rPr>
                <w:rFonts w:hint="eastAsia" w:eastAsia="仿宋" w:cs="仿宋"/>
                <w:sz w:val="20"/>
                <w:szCs w:val="20"/>
              </w:rPr>
              <w:t xml:space="preserve">  2</w:t>
            </w:r>
          </w:p>
        </w:tc>
        <w:tc>
          <w:tcPr>
            <w:tcW w:w="877" w:type="dxa"/>
            <w:noWrap w:val="0"/>
            <w:vAlign w:val="center"/>
          </w:tcPr>
          <w:p>
            <w:pPr>
              <w:jc w:val="left"/>
              <w:rPr>
                <w:rFonts w:hint="eastAsia" w:eastAsia="仿宋" w:cs="仿宋"/>
                <w:sz w:val="20"/>
                <w:szCs w:val="20"/>
              </w:rPr>
            </w:pPr>
            <w:r>
              <w:rPr>
                <w:rFonts w:hint="eastAsia" w:eastAsia="仿宋" w:cs="仿宋"/>
                <w:sz w:val="20"/>
                <w:szCs w:val="20"/>
              </w:rPr>
              <w:t xml:space="preserve">  2</w:t>
            </w:r>
          </w:p>
        </w:tc>
        <w:tc>
          <w:tcPr>
            <w:tcW w:w="1146" w:type="dxa"/>
            <w:noWrap w:val="0"/>
            <w:vAlign w:val="center"/>
          </w:tcPr>
          <w:p>
            <w:pPr>
              <w:jc w:val="left"/>
              <w:rPr>
                <w:rFonts w:eastAsia="仿宋" w:cs="仿宋"/>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3" w:hRule="atLeast"/>
          <w:jc w:val="center"/>
        </w:trPr>
        <w:tc>
          <w:tcPr>
            <w:tcW w:w="921" w:type="dxa"/>
            <w:vMerge w:val="continue"/>
            <w:noWrap w:val="0"/>
            <w:vAlign w:val="center"/>
          </w:tcPr>
          <w:p>
            <w:pPr>
              <w:jc w:val="left"/>
              <w:rPr>
                <w:rFonts w:ascii="Times New Roman" w:hAnsi="Times New Roman" w:eastAsia="仿宋_GB2312"/>
                <w:color w:val="000000"/>
                <w:sz w:val="20"/>
                <w:szCs w:val="20"/>
              </w:rPr>
            </w:pPr>
          </w:p>
        </w:tc>
        <w:tc>
          <w:tcPr>
            <w:tcW w:w="1085" w:type="dxa"/>
            <w:vMerge w:val="continue"/>
            <w:noWrap w:val="0"/>
            <w:vAlign w:val="center"/>
          </w:tcPr>
          <w:p>
            <w:pPr>
              <w:jc w:val="center"/>
              <w:rPr>
                <w:rFonts w:ascii="Times New Roman" w:hAnsi="Times New Roman" w:eastAsia="仿宋_GB2312"/>
                <w:color w:val="000000"/>
                <w:sz w:val="20"/>
                <w:szCs w:val="20"/>
              </w:rPr>
            </w:pPr>
          </w:p>
        </w:tc>
        <w:tc>
          <w:tcPr>
            <w:tcW w:w="1085" w:type="dxa"/>
            <w:vMerge w:val="continue"/>
            <w:noWrap w:val="0"/>
            <w:vAlign w:val="center"/>
          </w:tcPr>
          <w:p>
            <w:pPr>
              <w:jc w:val="center"/>
              <w:rPr>
                <w:rFonts w:ascii="Times New Roman" w:hAnsi="Times New Roman" w:eastAsia="仿宋_GB2312"/>
                <w:color w:val="000000"/>
                <w:sz w:val="20"/>
                <w:szCs w:val="20"/>
              </w:rPr>
            </w:pPr>
          </w:p>
        </w:tc>
        <w:tc>
          <w:tcPr>
            <w:tcW w:w="1230" w:type="dxa"/>
            <w:noWrap w:val="0"/>
            <w:vAlign w:val="center"/>
          </w:tcPr>
          <w:p>
            <w:pPr>
              <w:jc w:val="left"/>
              <w:rPr>
                <w:rFonts w:hint="eastAsia" w:eastAsia="仿宋" w:cs="仿宋"/>
                <w:sz w:val="20"/>
                <w:szCs w:val="20"/>
              </w:rPr>
            </w:pPr>
            <w:r>
              <w:rPr>
                <w:rFonts w:hint="eastAsia" w:eastAsia="仿宋" w:cs="仿宋"/>
                <w:sz w:val="20"/>
                <w:szCs w:val="20"/>
              </w:rPr>
              <w:t>举办重要活动场次达标率</w:t>
            </w:r>
          </w:p>
        </w:tc>
        <w:tc>
          <w:tcPr>
            <w:tcW w:w="1140" w:type="dxa"/>
            <w:noWrap w:val="0"/>
            <w:vAlign w:val="center"/>
          </w:tcPr>
          <w:p>
            <w:pPr>
              <w:jc w:val="left"/>
              <w:rPr>
                <w:rFonts w:eastAsia="仿宋" w:cs="仿宋"/>
                <w:sz w:val="20"/>
                <w:szCs w:val="20"/>
              </w:rPr>
            </w:pPr>
            <w:r>
              <w:rPr>
                <w:rFonts w:hint="eastAsia" w:eastAsia="仿宋" w:cs="仿宋"/>
                <w:sz w:val="20"/>
                <w:szCs w:val="20"/>
              </w:rPr>
              <w:t>95%</w:t>
            </w:r>
          </w:p>
        </w:tc>
        <w:tc>
          <w:tcPr>
            <w:tcW w:w="1140" w:type="dxa"/>
            <w:noWrap w:val="0"/>
            <w:vAlign w:val="center"/>
          </w:tcPr>
          <w:p>
            <w:pPr>
              <w:jc w:val="left"/>
              <w:rPr>
                <w:rFonts w:eastAsia="仿宋" w:cs="仿宋"/>
                <w:sz w:val="20"/>
                <w:szCs w:val="20"/>
              </w:rPr>
            </w:pPr>
            <w:r>
              <w:rPr>
                <w:rFonts w:hint="eastAsia" w:eastAsia="仿宋" w:cs="仿宋"/>
                <w:sz w:val="20"/>
                <w:szCs w:val="20"/>
              </w:rPr>
              <w:t>95%</w:t>
            </w:r>
          </w:p>
        </w:tc>
        <w:tc>
          <w:tcPr>
            <w:tcW w:w="832" w:type="dxa"/>
            <w:noWrap w:val="0"/>
            <w:vAlign w:val="center"/>
          </w:tcPr>
          <w:p>
            <w:pPr>
              <w:jc w:val="left"/>
              <w:rPr>
                <w:rFonts w:eastAsia="仿宋" w:cs="仿宋"/>
                <w:sz w:val="20"/>
                <w:szCs w:val="20"/>
              </w:rPr>
            </w:pPr>
            <w:r>
              <w:rPr>
                <w:rFonts w:hint="eastAsia" w:eastAsia="仿宋" w:cs="仿宋"/>
                <w:sz w:val="20"/>
                <w:szCs w:val="20"/>
              </w:rPr>
              <w:t xml:space="preserve">  2</w:t>
            </w:r>
          </w:p>
        </w:tc>
        <w:tc>
          <w:tcPr>
            <w:tcW w:w="877" w:type="dxa"/>
            <w:noWrap w:val="0"/>
            <w:vAlign w:val="center"/>
          </w:tcPr>
          <w:p>
            <w:pPr>
              <w:jc w:val="left"/>
              <w:rPr>
                <w:rFonts w:eastAsia="仿宋" w:cs="仿宋"/>
                <w:sz w:val="20"/>
                <w:szCs w:val="20"/>
              </w:rPr>
            </w:pPr>
            <w:r>
              <w:rPr>
                <w:rFonts w:hint="eastAsia" w:eastAsia="仿宋" w:cs="仿宋"/>
                <w:sz w:val="20"/>
                <w:szCs w:val="20"/>
              </w:rPr>
              <w:t xml:space="preserve">  2</w:t>
            </w:r>
          </w:p>
        </w:tc>
        <w:tc>
          <w:tcPr>
            <w:tcW w:w="1146" w:type="dxa"/>
            <w:noWrap w:val="0"/>
            <w:vAlign w:val="center"/>
          </w:tcPr>
          <w:p>
            <w:pPr>
              <w:jc w:val="left"/>
              <w:rPr>
                <w:rFonts w:eastAsia="仿宋" w:cs="仿宋"/>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48" w:hRule="atLeast"/>
          <w:jc w:val="center"/>
        </w:trPr>
        <w:tc>
          <w:tcPr>
            <w:tcW w:w="921" w:type="dxa"/>
            <w:vMerge w:val="continue"/>
            <w:noWrap w:val="0"/>
            <w:vAlign w:val="center"/>
          </w:tcPr>
          <w:p>
            <w:pPr>
              <w:jc w:val="left"/>
              <w:rPr>
                <w:rFonts w:ascii="Times New Roman" w:hAnsi="Times New Roman" w:eastAsia="仿宋_GB2312"/>
                <w:color w:val="000000"/>
                <w:sz w:val="20"/>
                <w:szCs w:val="20"/>
              </w:rPr>
            </w:pPr>
          </w:p>
        </w:tc>
        <w:tc>
          <w:tcPr>
            <w:tcW w:w="1085" w:type="dxa"/>
            <w:vMerge w:val="continue"/>
            <w:noWrap w:val="0"/>
            <w:vAlign w:val="center"/>
          </w:tcPr>
          <w:p>
            <w:pPr>
              <w:jc w:val="center"/>
              <w:rPr>
                <w:rFonts w:ascii="Times New Roman" w:hAnsi="Times New Roman" w:eastAsia="仿宋_GB2312"/>
                <w:color w:val="000000"/>
                <w:sz w:val="20"/>
                <w:szCs w:val="20"/>
              </w:rPr>
            </w:pPr>
          </w:p>
        </w:tc>
        <w:tc>
          <w:tcPr>
            <w:tcW w:w="1085" w:type="dxa"/>
            <w:vMerge w:val="restart"/>
            <w:noWrap w:val="0"/>
            <w:vAlign w:val="center"/>
          </w:tcPr>
          <w:p>
            <w:pPr>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时效指标</w:t>
            </w:r>
          </w:p>
        </w:tc>
        <w:tc>
          <w:tcPr>
            <w:tcW w:w="1230" w:type="dxa"/>
            <w:noWrap w:val="0"/>
            <w:vAlign w:val="center"/>
          </w:tcPr>
          <w:p>
            <w:pPr>
              <w:jc w:val="left"/>
              <w:rPr>
                <w:rFonts w:eastAsia="仿宋" w:cs="仿宋"/>
                <w:sz w:val="20"/>
                <w:szCs w:val="20"/>
              </w:rPr>
            </w:pPr>
            <w:r>
              <w:rPr>
                <w:rFonts w:hint="eastAsia" w:eastAsia="仿宋" w:cs="仿宋"/>
                <w:sz w:val="20"/>
                <w:szCs w:val="20"/>
              </w:rPr>
              <w:t>资金使用及时率</w:t>
            </w:r>
          </w:p>
        </w:tc>
        <w:tc>
          <w:tcPr>
            <w:tcW w:w="1140" w:type="dxa"/>
            <w:noWrap w:val="0"/>
            <w:vAlign w:val="center"/>
          </w:tcPr>
          <w:p>
            <w:pPr>
              <w:jc w:val="left"/>
              <w:rPr>
                <w:rFonts w:eastAsia="仿宋" w:cs="仿宋"/>
                <w:sz w:val="20"/>
                <w:szCs w:val="20"/>
              </w:rPr>
            </w:pPr>
            <w:r>
              <w:rPr>
                <w:rFonts w:eastAsia="仿宋" w:cs="仿宋"/>
                <w:sz w:val="20"/>
                <w:szCs w:val="20"/>
              </w:rPr>
              <w:t>　</w:t>
            </w:r>
            <w:r>
              <w:rPr>
                <w:rFonts w:hint="eastAsia" w:eastAsia="仿宋" w:cs="仿宋"/>
                <w:sz w:val="20"/>
                <w:szCs w:val="20"/>
              </w:rPr>
              <w:t>95%</w:t>
            </w:r>
          </w:p>
        </w:tc>
        <w:tc>
          <w:tcPr>
            <w:tcW w:w="1140" w:type="dxa"/>
            <w:noWrap w:val="0"/>
            <w:vAlign w:val="center"/>
          </w:tcPr>
          <w:p>
            <w:pPr>
              <w:jc w:val="left"/>
              <w:rPr>
                <w:rFonts w:eastAsia="仿宋" w:cs="仿宋"/>
                <w:sz w:val="20"/>
                <w:szCs w:val="20"/>
              </w:rPr>
            </w:pPr>
            <w:r>
              <w:rPr>
                <w:rFonts w:eastAsia="仿宋" w:cs="仿宋"/>
                <w:sz w:val="20"/>
                <w:szCs w:val="20"/>
              </w:rPr>
              <w:t>　</w:t>
            </w:r>
            <w:r>
              <w:rPr>
                <w:rFonts w:hint="eastAsia" w:eastAsia="仿宋" w:cs="仿宋"/>
                <w:sz w:val="20"/>
                <w:szCs w:val="20"/>
              </w:rPr>
              <w:t>95%</w:t>
            </w:r>
          </w:p>
        </w:tc>
        <w:tc>
          <w:tcPr>
            <w:tcW w:w="832" w:type="dxa"/>
            <w:noWrap w:val="0"/>
            <w:vAlign w:val="center"/>
          </w:tcPr>
          <w:p>
            <w:pPr>
              <w:jc w:val="left"/>
              <w:rPr>
                <w:rFonts w:eastAsia="仿宋" w:cs="仿宋"/>
                <w:sz w:val="20"/>
                <w:szCs w:val="20"/>
              </w:rPr>
            </w:pPr>
            <w:r>
              <w:rPr>
                <w:rFonts w:eastAsia="仿宋" w:cs="仿宋"/>
                <w:sz w:val="20"/>
                <w:szCs w:val="20"/>
              </w:rPr>
              <w:t>　</w:t>
            </w:r>
            <w:r>
              <w:rPr>
                <w:rFonts w:hint="eastAsia" w:eastAsia="仿宋" w:cs="仿宋"/>
                <w:sz w:val="20"/>
                <w:szCs w:val="20"/>
              </w:rPr>
              <w:t>2</w:t>
            </w:r>
          </w:p>
        </w:tc>
        <w:tc>
          <w:tcPr>
            <w:tcW w:w="877" w:type="dxa"/>
            <w:noWrap w:val="0"/>
            <w:vAlign w:val="center"/>
          </w:tcPr>
          <w:p>
            <w:pPr>
              <w:jc w:val="left"/>
              <w:rPr>
                <w:rFonts w:eastAsia="仿宋" w:cs="仿宋"/>
                <w:sz w:val="20"/>
                <w:szCs w:val="20"/>
              </w:rPr>
            </w:pPr>
            <w:r>
              <w:rPr>
                <w:rFonts w:eastAsia="仿宋" w:cs="仿宋"/>
                <w:sz w:val="20"/>
                <w:szCs w:val="20"/>
              </w:rPr>
              <w:t>　</w:t>
            </w:r>
            <w:r>
              <w:rPr>
                <w:rFonts w:hint="eastAsia" w:eastAsia="仿宋" w:cs="仿宋"/>
                <w:sz w:val="20"/>
                <w:szCs w:val="20"/>
              </w:rPr>
              <w:t>2</w:t>
            </w:r>
          </w:p>
        </w:tc>
        <w:tc>
          <w:tcPr>
            <w:tcW w:w="1146" w:type="dxa"/>
            <w:noWrap w:val="0"/>
            <w:vAlign w:val="center"/>
          </w:tcPr>
          <w:p>
            <w:pPr>
              <w:jc w:val="left"/>
              <w:rPr>
                <w:rFonts w:hint="eastAsia" w:eastAsia="仿宋" w:cs="仿宋"/>
                <w:sz w:val="20"/>
                <w:szCs w:val="20"/>
              </w:rPr>
            </w:pPr>
            <w:r>
              <w:rPr>
                <w:rFonts w:eastAsia="仿宋" w:cs="仿宋"/>
                <w:sz w:val="20"/>
                <w:szCs w:val="20"/>
              </w:rPr>
              <w:t>　</w:t>
            </w:r>
            <w:r>
              <w:rPr>
                <w:rFonts w:hint="eastAsia" w:eastAsia="仿宋" w:cs="仿宋"/>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ascii="Times New Roman" w:hAnsi="Times New Roman" w:eastAsia="仿宋_GB2312"/>
                <w:color w:val="000000"/>
                <w:sz w:val="20"/>
                <w:szCs w:val="20"/>
              </w:rPr>
            </w:pPr>
          </w:p>
        </w:tc>
        <w:tc>
          <w:tcPr>
            <w:tcW w:w="1085" w:type="dxa"/>
            <w:vMerge w:val="continue"/>
            <w:noWrap w:val="0"/>
            <w:vAlign w:val="center"/>
          </w:tcPr>
          <w:p>
            <w:pPr>
              <w:jc w:val="center"/>
              <w:rPr>
                <w:rFonts w:ascii="Times New Roman" w:hAnsi="Times New Roman" w:eastAsia="仿宋_GB2312"/>
                <w:color w:val="000000"/>
                <w:sz w:val="20"/>
                <w:szCs w:val="20"/>
              </w:rPr>
            </w:pPr>
          </w:p>
        </w:tc>
        <w:tc>
          <w:tcPr>
            <w:tcW w:w="1085" w:type="dxa"/>
            <w:vMerge w:val="continue"/>
            <w:noWrap w:val="0"/>
            <w:vAlign w:val="center"/>
          </w:tcPr>
          <w:p>
            <w:pPr>
              <w:jc w:val="center"/>
              <w:rPr>
                <w:rFonts w:ascii="Times New Roman" w:hAnsi="Times New Roman" w:eastAsia="仿宋_GB2312"/>
                <w:color w:val="000000"/>
                <w:sz w:val="20"/>
                <w:szCs w:val="20"/>
              </w:rPr>
            </w:pPr>
          </w:p>
        </w:tc>
        <w:tc>
          <w:tcPr>
            <w:tcW w:w="1230" w:type="dxa"/>
            <w:noWrap w:val="0"/>
            <w:vAlign w:val="center"/>
          </w:tcPr>
          <w:p>
            <w:pPr>
              <w:jc w:val="left"/>
              <w:rPr>
                <w:rFonts w:eastAsia="仿宋" w:cs="仿宋"/>
                <w:sz w:val="20"/>
                <w:szCs w:val="20"/>
              </w:rPr>
            </w:pPr>
            <w:r>
              <w:rPr>
                <w:rFonts w:hint="eastAsia" w:eastAsia="仿宋" w:cs="仿宋"/>
                <w:sz w:val="20"/>
                <w:szCs w:val="20"/>
              </w:rPr>
              <w:t>重要活动举办及时率</w:t>
            </w:r>
          </w:p>
        </w:tc>
        <w:tc>
          <w:tcPr>
            <w:tcW w:w="1140" w:type="dxa"/>
            <w:noWrap w:val="0"/>
            <w:vAlign w:val="center"/>
          </w:tcPr>
          <w:p>
            <w:pPr>
              <w:jc w:val="left"/>
              <w:rPr>
                <w:rFonts w:eastAsia="仿宋" w:cs="仿宋"/>
                <w:sz w:val="20"/>
                <w:szCs w:val="20"/>
              </w:rPr>
            </w:pPr>
            <w:r>
              <w:rPr>
                <w:rFonts w:hint="eastAsia" w:eastAsia="仿宋" w:cs="仿宋"/>
                <w:sz w:val="20"/>
                <w:szCs w:val="20"/>
              </w:rPr>
              <w:t>90%</w:t>
            </w:r>
          </w:p>
        </w:tc>
        <w:tc>
          <w:tcPr>
            <w:tcW w:w="1140" w:type="dxa"/>
            <w:noWrap w:val="0"/>
            <w:vAlign w:val="center"/>
          </w:tcPr>
          <w:p>
            <w:pPr>
              <w:jc w:val="left"/>
              <w:rPr>
                <w:rFonts w:eastAsia="仿宋" w:cs="仿宋"/>
                <w:sz w:val="20"/>
                <w:szCs w:val="20"/>
              </w:rPr>
            </w:pPr>
            <w:r>
              <w:rPr>
                <w:rFonts w:hint="eastAsia" w:eastAsia="仿宋" w:cs="仿宋"/>
                <w:sz w:val="20"/>
                <w:szCs w:val="20"/>
              </w:rPr>
              <w:t>90%</w:t>
            </w:r>
          </w:p>
        </w:tc>
        <w:tc>
          <w:tcPr>
            <w:tcW w:w="832" w:type="dxa"/>
            <w:noWrap w:val="0"/>
            <w:vAlign w:val="center"/>
          </w:tcPr>
          <w:p>
            <w:pPr>
              <w:jc w:val="left"/>
              <w:rPr>
                <w:rFonts w:eastAsia="仿宋" w:cs="仿宋"/>
                <w:sz w:val="20"/>
                <w:szCs w:val="20"/>
              </w:rPr>
            </w:pPr>
            <w:r>
              <w:rPr>
                <w:rFonts w:hint="eastAsia" w:eastAsia="仿宋" w:cs="仿宋"/>
                <w:sz w:val="20"/>
                <w:szCs w:val="20"/>
              </w:rPr>
              <w:t xml:space="preserve">  2</w:t>
            </w:r>
          </w:p>
        </w:tc>
        <w:tc>
          <w:tcPr>
            <w:tcW w:w="877" w:type="dxa"/>
            <w:noWrap w:val="0"/>
            <w:vAlign w:val="center"/>
          </w:tcPr>
          <w:p>
            <w:pPr>
              <w:jc w:val="left"/>
              <w:rPr>
                <w:rFonts w:eastAsia="仿宋" w:cs="仿宋"/>
                <w:sz w:val="20"/>
                <w:szCs w:val="20"/>
              </w:rPr>
            </w:pPr>
            <w:r>
              <w:rPr>
                <w:rFonts w:hint="eastAsia" w:eastAsia="仿宋" w:cs="仿宋"/>
                <w:sz w:val="20"/>
                <w:szCs w:val="20"/>
              </w:rPr>
              <w:t xml:space="preserve">  2</w:t>
            </w:r>
          </w:p>
        </w:tc>
        <w:tc>
          <w:tcPr>
            <w:tcW w:w="1146" w:type="dxa"/>
            <w:noWrap w:val="0"/>
            <w:vAlign w:val="center"/>
          </w:tcPr>
          <w:p>
            <w:pPr>
              <w:jc w:val="left"/>
              <w:rPr>
                <w:rFonts w:eastAsia="仿宋" w:cs="仿宋"/>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ascii="Times New Roman" w:hAnsi="Times New Roman" w:eastAsia="仿宋_GB2312"/>
                <w:color w:val="000000"/>
                <w:sz w:val="20"/>
                <w:szCs w:val="20"/>
              </w:rPr>
            </w:pPr>
          </w:p>
        </w:tc>
        <w:tc>
          <w:tcPr>
            <w:tcW w:w="1085" w:type="dxa"/>
            <w:vMerge w:val="continue"/>
            <w:noWrap w:val="0"/>
            <w:vAlign w:val="center"/>
          </w:tcPr>
          <w:p>
            <w:pPr>
              <w:jc w:val="center"/>
              <w:rPr>
                <w:rFonts w:ascii="Times New Roman" w:hAnsi="Times New Roman" w:eastAsia="仿宋_GB2312"/>
                <w:color w:val="000000"/>
                <w:sz w:val="20"/>
                <w:szCs w:val="20"/>
              </w:rPr>
            </w:pPr>
          </w:p>
        </w:tc>
        <w:tc>
          <w:tcPr>
            <w:tcW w:w="1085" w:type="dxa"/>
            <w:vMerge w:val="continue"/>
            <w:noWrap w:val="0"/>
            <w:vAlign w:val="center"/>
          </w:tcPr>
          <w:p>
            <w:pPr>
              <w:jc w:val="center"/>
              <w:rPr>
                <w:rFonts w:ascii="Times New Roman" w:hAnsi="Times New Roman" w:eastAsia="仿宋_GB2312"/>
                <w:color w:val="000000"/>
                <w:sz w:val="20"/>
                <w:szCs w:val="20"/>
              </w:rPr>
            </w:pPr>
          </w:p>
        </w:tc>
        <w:tc>
          <w:tcPr>
            <w:tcW w:w="1230" w:type="dxa"/>
            <w:noWrap w:val="0"/>
            <w:vAlign w:val="center"/>
          </w:tcPr>
          <w:p>
            <w:pPr>
              <w:jc w:val="left"/>
              <w:rPr>
                <w:rFonts w:hint="eastAsia" w:eastAsia="仿宋" w:cs="仿宋"/>
                <w:sz w:val="20"/>
                <w:szCs w:val="20"/>
              </w:rPr>
            </w:pPr>
            <w:r>
              <w:rPr>
                <w:rFonts w:hint="eastAsia" w:eastAsia="仿宋" w:cs="仿宋"/>
                <w:sz w:val="20"/>
                <w:szCs w:val="20"/>
              </w:rPr>
              <w:t>场馆及园区各项工作完工及时率</w:t>
            </w:r>
          </w:p>
        </w:tc>
        <w:tc>
          <w:tcPr>
            <w:tcW w:w="1140" w:type="dxa"/>
            <w:noWrap w:val="0"/>
            <w:vAlign w:val="center"/>
          </w:tcPr>
          <w:p>
            <w:pPr>
              <w:jc w:val="left"/>
              <w:rPr>
                <w:rFonts w:eastAsia="仿宋" w:cs="仿宋"/>
                <w:sz w:val="20"/>
                <w:szCs w:val="20"/>
              </w:rPr>
            </w:pPr>
            <w:r>
              <w:rPr>
                <w:rFonts w:hint="eastAsia" w:eastAsia="仿宋" w:cs="仿宋"/>
                <w:sz w:val="20"/>
                <w:szCs w:val="20"/>
              </w:rPr>
              <w:t>95%</w:t>
            </w:r>
          </w:p>
        </w:tc>
        <w:tc>
          <w:tcPr>
            <w:tcW w:w="1140" w:type="dxa"/>
            <w:noWrap w:val="0"/>
            <w:vAlign w:val="center"/>
          </w:tcPr>
          <w:p>
            <w:pPr>
              <w:jc w:val="left"/>
              <w:rPr>
                <w:rFonts w:eastAsia="仿宋" w:cs="仿宋"/>
                <w:sz w:val="20"/>
                <w:szCs w:val="20"/>
              </w:rPr>
            </w:pPr>
            <w:r>
              <w:rPr>
                <w:rFonts w:hint="eastAsia" w:eastAsia="仿宋" w:cs="仿宋"/>
                <w:sz w:val="20"/>
                <w:szCs w:val="20"/>
              </w:rPr>
              <w:t>95%</w:t>
            </w:r>
          </w:p>
        </w:tc>
        <w:tc>
          <w:tcPr>
            <w:tcW w:w="832" w:type="dxa"/>
            <w:noWrap w:val="0"/>
            <w:vAlign w:val="center"/>
          </w:tcPr>
          <w:p>
            <w:pPr>
              <w:jc w:val="left"/>
              <w:rPr>
                <w:rFonts w:eastAsia="仿宋" w:cs="仿宋"/>
                <w:sz w:val="20"/>
                <w:szCs w:val="20"/>
              </w:rPr>
            </w:pPr>
            <w:r>
              <w:rPr>
                <w:rFonts w:hint="eastAsia" w:eastAsia="仿宋" w:cs="仿宋"/>
                <w:sz w:val="20"/>
                <w:szCs w:val="20"/>
              </w:rPr>
              <w:t xml:space="preserve">  2</w:t>
            </w:r>
          </w:p>
        </w:tc>
        <w:tc>
          <w:tcPr>
            <w:tcW w:w="877" w:type="dxa"/>
            <w:noWrap w:val="0"/>
            <w:vAlign w:val="center"/>
          </w:tcPr>
          <w:p>
            <w:pPr>
              <w:jc w:val="left"/>
              <w:rPr>
                <w:rFonts w:eastAsia="仿宋" w:cs="仿宋"/>
                <w:sz w:val="20"/>
                <w:szCs w:val="20"/>
              </w:rPr>
            </w:pPr>
            <w:r>
              <w:rPr>
                <w:rFonts w:hint="eastAsia" w:eastAsia="仿宋" w:cs="仿宋"/>
                <w:sz w:val="20"/>
                <w:szCs w:val="20"/>
              </w:rPr>
              <w:t xml:space="preserve">  2</w:t>
            </w:r>
          </w:p>
        </w:tc>
        <w:tc>
          <w:tcPr>
            <w:tcW w:w="1146" w:type="dxa"/>
            <w:noWrap w:val="0"/>
            <w:vAlign w:val="center"/>
          </w:tcPr>
          <w:p>
            <w:pPr>
              <w:jc w:val="left"/>
              <w:rPr>
                <w:rFonts w:eastAsia="仿宋" w:cs="仿宋"/>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58" w:hRule="atLeast"/>
          <w:jc w:val="center"/>
        </w:trPr>
        <w:tc>
          <w:tcPr>
            <w:tcW w:w="921" w:type="dxa"/>
            <w:vMerge w:val="continue"/>
            <w:noWrap w:val="0"/>
            <w:vAlign w:val="center"/>
          </w:tcPr>
          <w:p>
            <w:pPr>
              <w:jc w:val="left"/>
              <w:rPr>
                <w:rFonts w:ascii="Times New Roman" w:hAnsi="Times New Roman" w:eastAsia="仿宋_GB2312"/>
                <w:color w:val="000000"/>
                <w:sz w:val="20"/>
                <w:szCs w:val="20"/>
              </w:rPr>
            </w:pPr>
          </w:p>
        </w:tc>
        <w:tc>
          <w:tcPr>
            <w:tcW w:w="1085" w:type="dxa"/>
            <w:vMerge w:val="continue"/>
            <w:noWrap w:val="0"/>
            <w:vAlign w:val="center"/>
          </w:tcPr>
          <w:p>
            <w:pPr>
              <w:jc w:val="center"/>
              <w:rPr>
                <w:rFonts w:ascii="Times New Roman" w:hAnsi="Times New Roman" w:eastAsia="仿宋_GB2312"/>
                <w:color w:val="000000"/>
                <w:sz w:val="20"/>
                <w:szCs w:val="20"/>
              </w:rPr>
            </w:pPr>
          </w:p>
        </w:tc>
        <w:tc>
          <w:tcPr>
            <w:tcW w:w="1085" w:type="dxa"/>
            <w:noWrap w:val="0"/>
            <w:vAlign w:val="center"/>
          </w:tcPr>
          <w:p>
            <w:pPr>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成本指标</w:t>
            </w:r>
          </w:p>
        </w:tc>
        <w:tc>
          <w:tcPr>
            <w:tcW w:w="1230" w:type="dxa"/>
            <w:noWrap w:val="0"/>
            <w:vAlign w:val="center"/>
          </w:tcPr>
          <w:p>
            <w:pPr>
              <w:jc w:val="left"/>
              <w:rPr>
                <w:rFonts w:eastAsia="仿宋" w:cs="仿宋"/>
                <w:sz w:val="20"/>
                <w:szCs w:val="20"/>
              </w:rPr>
            </w:pPr>
            <w:r>
              <w:rPr>
                <w:rFonts w:hint="eastAsia" w:eastAsia="仿宋" w:cs="仿宋"/>
                <w:sz w:val="20"/>
                <w:szCs w:val="20"/>
              </w:rPr>
              <w:t>预算成本控制情况</w:t>
            </w:r>
          </w:p>
        </w:tc>
        <w:tc>
          <w:tcPr>
            <w:tcW w:w="1140" w:type="dxa"/>
            <w:noWrap w:val="0"/>
            <w:vAlign w:val="center"/>
          </w:tcPr>
          <w:p>
            <w:pPr>
              <w:jc w:val="left"/>
              <w:rPr>
                <w:rFonts w:eastAsia="仿宋" w:cs="仿宋"/>
                <w:sz w:val="20"/>
                <w:szCs w:val="20"/>
              </w:rPr>
            </w:pPr>
            <w:r>
              <w:rPr>
                <w:rFonts w:hint="eastAsia" w:eastAsia="仿宋" w:cs="仿宋"/>
                <w:sz w:val="20"/>
                <w:szCs w:val="20"/>
              </w:rPr>
              <w:t>626.21万元</w:t>
            </w:r>
          </w:p>
        </w:tc>
        <w:tc>
          <w:tcPr>
            <w:tcW w:w="1140" w:type="dxa"/>
            <w:noWrap w:val="0"/>
            <w:vAlign w:val="center"/>
          </w:tcPr>
          <w:p>
            <w:pPr>
              <w:jc w:val="left"/>
              <w:rPr>
                <w:rFonts w:eastAsia="仿宋" w:cs="仿宋"/>
                <w:sz w:val="20"/>
                <w:szCs w:val="20"/>
              </w:rPr>
            </w:pPr>
            <w:r>
              <w:rPr>
                <w:rFonts w:hint="eastAsia" w:eastAsia="仿宋" w:cs="仿宋"/>
                <w:sz w:val="20"/>
                <w:szCs w:val="20"/>
              </w:rPr>
              <w:t>603.56万元</w:t>
            </w:r>
          </w:p>
        </w:tc>
        <w:tc>
          <w:tcPr>
            <w:tcW w:w="832" w:type="dxa"/>
            <w:noWrap w:val="0"/>
            <w:vAlign w:val="center"/>
          </w:tcPr>
          <w:p>
            <w:pPr>
              <w:jc w:val="left"/>
              <w:rPr>
                <w:rFonts w:eastAsia="仿宋" w:cs="仿宋"/>
                <w:sz w:val="20"/>
                <w:szCs w:val="20"/>
              </w:rPr>
            </w:pPr>
            <w:r>
              <w:rPr>
                <w:rFonts w:eastAsia="仿宋" w:cs="仿宋"/>
                <w:sz w:val="20"/>
                <w:szCs w:val="20"/>
              </w:rPr>
              <w:t>　</w:t>
            </w:r>
            <w:r>
              <w:rPr>
                <w:rFonts w:hint="eastAsia" w:eastAsia="仿宋" w:cs="仿宋"/>
                <w:sz w:val="20"/>
                <w:szCs w:val="20"/>
              </w:rPr>
              <w:t>16</w:t>
            </w:r>
          </w:p>
        </w:tc>
        <w:tc>
          <w:tcPr>
            <w:tcW w:w="877" w:type="dxa"/>
            <w:noWrap w:val="0"/>
            <w:vAlign w:val="center"/>
          </w:tcPr>
          <w:p>
            <w:pPr>
              <w:jc w:val="left"/>
              <w:rPr>
                <w:rFonts w:eastAsia="仿宋" w:cs="仿宋"/>
                <w:sz w:val="20"/>
                <w:szCs w:val="20"/>
              </w:rPr>
            </w:pPr>
            <w:r>
              <w:rPr>
                <w:rFonts w:eastAsia="仿宋" w:cs="仿宋"/>
                <w:sz w:val="20"/>
                <w:szCs w:val="20"/>
              </w:rPr>
              <w:t>　</w:t>
            </w:r>
            <w:r>
              <w:rPr>
                <w:rFonts w:hint="eastAsia" w:eastAsia="仿宋" w:cs="仿宋"/>
                <w:sz w:val="20"/>
                <w:szCs w:val="20"/>
              </w:rPr>
              <w:t>13</w:t>
            </w:r>
          </w:p>
        </w:tc>
        <w:tc>
          <w:tcPr>
            <w:tcW w:w="1146" w:type="dxa"/>
            <w:noWrap w:val="0"/>
            <w:vAlign w:val="center"/>
          </w:tcPr>
          <w:p>
            <w:pPr>
              <w:jc w:val="left"/>
              <w:rPr>
                <w:rFonts w:hint="eastAsia" w:eastAsia="仿宋" w:cs="仿宋"/>
                <w:sz w:val="20"/>
                <w:szCs w:val="20"/>
              </w:rPr>
            </w:pPr>
            <w:r>
              <w:rPr>
                <w:rFonts w:eastAsia="仿宋" w:cs="仿宋"/>
                <w:sz w:val="20"/>
                <w:szCs w:val="20"/>
              </w:rPr>
              <w:t>　</w:t>
            </w:r>
            <w:r>
              <w:rPr>
                <w:rFonts w:hint="eastAsia" w:eastAsia="仿宋" w:cs="仿宋"/>
                <w:sz w:val="20"/>
                <w:szCs w:val="20"/>
              </w:rPr>
              <w:t>-因疫情影响造成部分工作滞后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ascii="Times New Roman" w:hAnsi="Times New Roman" w:eastAsia="仿宋_GB2312"/>
                <w:color w:val="000000"/>
                <w:sz w:val="20"/>
                <w:szCs w:val="20"/>
              </w:rPr>
            </w:pPr>
          </w:p>
        </w:tc>
        <w:tc>
          <w:tcPr>
            <w:tcW w:w="1085" w:type="dxa"/>
            <w:vMerge w:val="restart"/>
            <w:noWrap w:val="0"/>
            <w:vAlign w:val="center"/>
          </w:tcPr>
          <w:p>
            <w:pPr>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效益指标</w:t>
            </w:r>
          </w:p>
          <w:p>
            <w:pPr>
              <w:jc w:val="center"/>
              <w:rPr>
                <w:rFonts w:ascii="Times New Roman" w:hAnsi="Times New Roman" w:eastAsia="仿宋_GB2312"/>
                <w:color w:val="000000"/>
                <w:sz w:val="20"/>
                <w:szCs w:val="20"/>
              </w:rPr>
            </w:pPr>
          </w:p>
          <w:p>
            <w:pPr>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（30分）</w:t>
            </w:r>
          </w:p>
          <w:p>
            <w:pPr>
              <w:jc w:val="center"/>
              <w:rPr>
                <w:rFonts w:ascii="Times New Roman" w:hAnsi="Times New Roman" w:eastAsia="仿宋_GB2312"/>
                <w:color w:val="000000"/>
                <w:sz w:val="20"/>
                <w:szCs w:val="20"/>
              </w:rPr>
            </w:pPr>
          </w:p>
        </w:tc>
        <w:tc>
          <w:tcPr>
            <w:tcW w:w="1085" w:type="dxa"/>
            <w:noWrap w:val="0"/>
            <w:vAlign w:val="center"/>
          </w:tcPr>
          <w:p>
            <w:pPr>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经济效</w:t>
            </w:r>
          </w:p>
          <w:p>
            <w:pPr>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益指标</w:t>
            </w:r>
          </w:p>
        </w:tc>
        <w:tc>
          <w:tcPr>
            <w:tcW w:w="1230" w:type="dxa"/>
            <w:noWrap w:val="0"/>
            <w:vAlign w:val="center"/>
          </w:tcPr>
          <w:p>
            <w:pPr>
              <w:jc w:val="left"/>
              <w:rPr>
                <w:rFonts w:hint="eastAsia" w:eastAsia="仿宋" w:cs="仿宋"/>
                <w:sz w:val="20"/>
                <w:szCs w:val="20"/>
              </w:rPr>
            </w:pPr>
            <w:r>
              <w:rPr>
                <w:rFonts w:hint="eastAsia" w:eastAsia="仿宋" w:cs="仿宋"/>
                <w:sz w:val="20"/>
                <w:szCs w:val="20"/>
              </w:rPr>
              <w:t>不适用</w:t>
            </w:r>
          </w:p>
        </w:tc>
        <w:tc>
          <w:tcPr>
            <w:tcW w:w="1140" w:type="dxa"/>
            <w:noWrap w:val="0"/>
            <w:vAlign w:val="center"/>
          </w:tcPr>
          <w:p>
            <w:pPr>
              <w:jc w:val="left"/>
              <w:rPr>
                <w:rFonts w:eastAsia="仿宋" w:cs="仿宋"/>
                <w:sz w:val="20"/>
                <w:szCs w:val="20"/>
              </w:rPr>
            </w:pPr>
            <w:r>
              <w:rPr>
                <w:rFonts w:hint="eastAsia" w:eastAsia="仿宋" w:cs="仿宋"/>
                <w:sz w:val="20"/>
                <w:szCs w:val="20"/>
              </w:rPr>
              <w:t>-</w:t>
            </w:r>
            <w:r>
              <w:rPr>
                <w:rFonts w:eastAsia="仿宋" w:cs="仿宋"/>
                <w:sz w:val="20"/>
                <w:szCs w:val="20"/>
              </w:rPr>
              <w:t>　</w:t>
            </w:r>
          </w:p>
        </w:tc>
        <w:tc>
          <w:tcPr>
            <w:tcW w:w="1140" w:type="dxa"/>
            <w:noWrap w:val="0"/>
            <w:vAlign w:val="center"/>
          </w:tcPr>
          <w:p>
            <w:pPr>
              <w:jc w:val="left"/>
              <w:rPr>
                <w:rFonts w:eastAsia="仿宋" w:cs="仿宋"/>
                <w:sz w:val="20"/>
                <w:szCs w:val="20"/>
              </w:rPr>
            </w:pPr>
            <w:r>
              <w:rPr>
                <w:rFonts w:hint="eastAsia" w:eastAsia="仿宋" w:cs="仿宋"/>
                <w:sz w:val="20"/>
                <w:szCs w:val="20"/>
              </w:rPr>
              <w:t>-</w:t>
            </w:r>
            <w:r>
              <w:rPr>
                <w:rFonts w:eastAsia="仿宋" w:cs="仿宋"/>
                <w:sz w:val="20"/>
                <w:szCs w:val="20"/>
              </w:rPr>
              <w:t>　</w:t>
            </w:r>
          </w:p>
        </w:tc>
        <w:tc>
          <w:tcPr>
            <w:tcW w:w="832" w:type="dxa"/>
            <w:noWrap w:val="0"/>
            <w:vAlign w:val="center"/>
          </w:tcPr>
          <w:p>
            <w:pPr>
              <w:jc w:val="left"/>
              <w:rPr>
                <w:rFonts w:hint="eastAsia" w:eastAsia="仿宋" w:cs="仿宋"/>
                <w:sz w:val="20"/>
                <w:szCs w:val="20"/>
              </w:rPr>
            </w:pPr>
            <w:r>
              <w:rPr>
                <w:rFonts w:eastAsia="仿宋" w:cs="仿宋"/>
                <w:sz w:val="20"/>
                <w:szCs w:val="20"/>
              </w:rPr>
              <w:t>　</w:t>
            </w:r>
            <w:r>
              <w:rPr>
                <w:rFonts w:hint="eastAsia" w:eastAsia="仿宋" w:cs="仿宋"/>
                <w:sz w:val="20"/>
                <w:szCs w:val="20"/>
              </w:rPr>
              <w:t>-</w:t>
            </w:r>
          </w:p>
        </w:tc>
        <w:tc>
          <w:tcPr>
            <w:tcW w:w="877" w:type="dxa"/>
            <w:noWrap w:val="0"/>
            <w:vAlign w:val="center"/>
          </w:tcPr>
          <w:p>
            <w:pPr>
              <w:jc w:val="left"/>
              <w:rPr>
                <w:rFonts w:hint="eastAsia" w:eastAsia="仿宋" w:cs="仿宋"/>
                <w:sz w:val="20"/>
                <w:szCs w:val="20"/>
              </w:rPr>
            </w:pPr>
            <w:r>
              <w:rPr>
                <w:rFonts w:eastAsia="仿宋" w:cs="仿宋"/>
                <w:sz w:val="20"/>
                <w:szCs w:val="20"/>
              </w:rPr>
              <w:t>　</w:t>
            </w:r>
            <w:r>
              <w:rPr>
                <w:rFonts w:hint="eastAsia" w:eastAsia="仿宋" w:cs="仿宋"/>
                <w:sz w:val="20"/>
                <w:szCs w:val="20"/>
              </w:rPr>
              <w:t>-</w:t>
            </w:r>
          </w:p>
        </w:tc>
        <w:tc>
          <w:tcPr>
            <w:tcW w:w="1146" w:type="dxa"/>
            <w:noWrap w:val="0"/>
            <w:vAlign w:val="center"/>
          </w:tcPr>
          <w:p>
            <w:pPr>
              <w:jc w:val="left"/>
              <w:rPr>
                <w:rFonts w:hint="eastAsia" w:eastAsia="仿宋" w:cs="仿宋"/>
                <w:sz w:val="20"/>
                <w:szCs w:val="20"/>
              </w:rPr>
            </w:pPr>
            <w:r>
              <w:rPr>
                <w:rFonts w:eastAsia="仿宋" w:cs="仿宋"/>
                <w:sz w:val="20"/>
                <w:szCs w:val="20"/>
              </w:rPr>
              <w:t>　</w:t>
            </w:r>
            <w:r>
              <w:rPr>
                <w:rFonts w:hint="eastAsia" w:eastAsia="仿宋" w:cs="仿宋"/>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ascii="Times New Roman" w:hAnsi="Times New Roman" w:eastAsia="仿宋_GB2312"/>
                <w:color w:val="000000"/>
                <w:sz w:val="20"/>
                <w:szCs w:val="20"/>
              </w:rPr>
            </w:pPr>
          </w:p>
        </w:tc>
        <w:tc>
          <w:tcPr>
            <w:tcW w:w="1085" w:type="dxa"/>
            <w:vMerge w:val="continue"/>
            <w:noWrap w:val="0"/>
            <w:vAlign w:val="center"/>
          </w:tcPr>
          <w:p>
            <w:pPr>
              <w:jc w:val="left"/>
              <w:rPr>
                <w:rFonts w:ascii="Times New Roman" w:hAnsi="Times New Roman" w:eastAsia="仿宋_GB2312"/>
                <w:color w:val="000000"/>
                <w:sz w:val="20"/>
                <w:szCs w:val="20"/>
              </w:rPr>
            </w:pPr>
          </w:p>
        </w:tc>
        <w:tc>
          <w:tcPr>
            <w:tcW w:w="1085" w:type="dxa"/>
            <w:noWrap w:val="0"/>
            <w:vAlign w:val="center"/>
          </w:tcPr>
          <w:p>
            <w:pPr>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社会效</w:t>
            </w:r>
          </w:p>
          <w:p>
            <w:pPr>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益指标</w:t>
            </w:r>
          </w:p>
        </w:tc>
        <w:tc>
          <w:tcPr>
            <w:tcW w:w="1230" w:type="dxa"/>
            <w:noWrap w:val="0"/>
            <w:vAlign w:val="center"/>
          </w:tcPr>
          <w:p>
            <w:pPr>
              <w:jc w:val="left"/>
              <w:rPr>
                <w:rFonts w:hint="eastAsia" w:eastAsia="仿宋" w:cs="仿宋"/>
                <w:sz w:val="20"/>
                <w:szCs w:val="20"/>
              </w:rPr>
            </w:pPr>
            <w:r>
              <w:rPr>
                <w:rFonts w:hint="eastAsia" w:eastAsia="仿宋" w:cs="仿宋"/>
                <w:sz w:val="20"/>
                <w:szCs w:val="20"/>
              </w:rPr>
              <w:t>打造红色教育基地，保障纪念馆、红色文化主题公园对外开放</w:t>
            </w:r>
          </w:p>
        </w:tc>
        <w:tc>
          <w:tcPr>
            <w:tcW w:w="1140" w:type="dxa"/>
            <w:noWrap w:val="0"/>
            <w:vAlign w:val="center"/>
          </w:tcPr>
          <w:p>
            <w:pPr>
              <w:jc w:val="left"/>
              <w:rPr>
                <w:rFonts w:hint="eastAsia" w:eastAsia="仿宋" w:cs="仿宋"/>
                <w:sz w:val="20"/>
                <w:szCs w:val="20"/>
              </w:rPr>
            </w:pPr>
            <w:r>
              <w:rPr>
                <w:rFonts w:hint="eastAsia" w:eastAsia="仿宋" w:cs="仿宋"/>
                <w:sz w:val="20"/>
                <w:szCs w:val="20"/>
              </w:rPr>
              <w:t>有效保障</w:t>
            </w:r>
          </w:p>
        </w:tc>
        <w:tc>
          <w:tcPr>
            <w:tcW w:w="1140" w:type="dxa"/>
            <w:noWrap w:val="0"/>
            <w:vAlign w:val="center"/>
          </w:tcPr>
          <w:p>
            <w:pPr>
              <w:jc w:val="left"/>
              <w:rPr>
                <w:rFonts w:eastAsia="仿宋" w:cs="仿宋"/>
                <w:sz w:val="20"/>
                <w:szCs w:val="20"/>
              </w:rPr>
            </w:pPr>
            <w:r>
              <w:rPr>
                <w:rFonts w:hint="eastAsia" w:eastAsia="仿宋" w:cs="仿宋"/>
                <w:sz w:val="20"/>
                <w:szCs w:val="20"/>
              </w:rPr>
              <w:t>有效保障</w:t>
            </w:r>
            <w:r>
              <w:rPr>
                <w:rFonts w:eastAsia="仿宋" w:cs="仿宋"/>
                <w:sz w:val="20"/>
                <w:szCs w:val="20"/>
              </w:rPr>
              <w:t>　</w:t>
            </w:r>
          </w:p>
        </w:tc>
        <w:tc>
          <w:tcPr>
            <w:tcW w:w="832" w:type="dxa"/>
            <w:noWrap w:val="0"/>
            <w:vAlign w:val="center"/>
          </w:tcPr>
          <w:p>
            <w:pPr>
              <w:jc w:val="left"/>
              <w:rPr>
                <w:rFonts w:eastAsia="仿宋" w:cs="仿宋"/>
                <w:sz w:val="20"/>
                <w:szCs w:val="20"/>
              </w:rPr>
            </w:pPr>
            <w:r>
              <w:rPr>
                <w:rFonts w:eastAsia="仿宋" w:cs="仿宋"/>
                <w:sz w:val="20"/>
                <w:szCs w:val="20"/>
              </w:rPr>
              <w:t>　</w:t>
            </w:r>
            <w:r>
              <w:rPr>
                <w:rFonts w:hint="eastAsia" w:eastAsia="仿宋" w:cs="仿宋"/>
                <w:sz w:val="20"/>
                <w:szCs w:val="20"/>
              </w:rPr>
              <w:t>15</w:t>
            </w:r>
          </w:p>
        </w:tc>
        <w:tc>
          <w:tcPr>
            <w:tcW w:w="877" w:type="dxa"/>
            <w:noWrap w:val="0"/>
            <w:vAlign w:val="center"/>
          </w:tcPr>
          <w:p>
            <w:pPr>
              <w:jc w:val="left"/>
              <w:rPr>
                <w:rFonts w:eastAsia="仿宋" w:cs="仿宋"/>
                <w:sz w:val="20"/>
                <w:szCs w:val="20"/>
              </w:rPr>
            </w:pPr>
            <w:r>
              <w:rPr>
                <w:rFonts w:eastAsia="仿宋" w:cs="仿宋"/>
                <w:sz w:val="20"/>
                <w:szCs w:val="20"/>
              </w:rPr>
              <w:t>　</w:t>
            </w:r>
            <w:r>
              <w:rPr>
                <w:rFonts w:hint="eastAsia" w:eastAsia="仿宋" w:cs="仿宋"/>
                <w:sz w:val="20"/>
                <w:szCs w:val="20"/>
              </w:rPr>
              <w:t>15</w:t>
            </w:r>
          </w:p>
        </w:tc>
        <w:tc>
          <w:tcPr>
            <w:tcW w:w="1146" w:type="dxa"/>
            <w:noWrap w:val="0"/>
            <w:vAlign w:val="center"/>
          </w:tcPr>
          <w:p>
            <w:pPr>
              <w:jc w:val="left"/>
              <w:rPr>
                <w:rFonts w:hint="eastAsia" w:eastAsia="仿宋" w:cs="仿宋"/>
                <w:sz w:val="20"/>
                <w:szCs w:val="20"/>
              </w:rPr>
            </w:pPr>
            <w:r>
              <w:rPr>
                <w:rFonts w:eastAsia="仿宋" w:cs="仿宋"/>
                <w:sz w:val="20"/>
                <w:szCs w:val="20"/>
              </w:rPr>
              <w:t>　</w:t>
            </w:r>
            <w:r>
              <w:rPr>
                <w:rFonts w:hint="eastAsia" w:eastAsia="仿宋" w:cs="仿宋"/>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ascii="Times New Roman" w:hAnsi="Times New Roman" w:eastAsia="仿宋_GB2312"/>
                <w:color w:val="000000"/>
                <w:sz w:val="20"/>
                <w:szCs w:val="20"/>
              </w:rPr>
            </w:pPr>
          </w:p>
        </w:tc>
        <w:tc>
          <w:tcPr>
            <w:tcW w:w="1085" w:type="dxa"/>
            <w:vMerge w:val="continue"/>
            <w:noWrap w:val="0"/>
            <w:vAlign w:val="center"/>
          </w:tcPr>
          <w:p>
            <w:pPr>
              <w:jc w:val="left"/>
              <w:rPr>
                <w:rFonts w:ascii="Times New Roman" w:hAnsi="Times New Roman" w:eastAsia="仿宋_GB2312"/>
                <w:color w:val="000000"/>
                <w:sz w:val="20"/>
                <w:szCs w:val="20"/>
              </w:rPr>
            </w:pPr>
          </w:p>
        </w:tc>
        <w:tc>
          <w:tcPr>
            <w:tcW w:w="1085" w:type="dxa"/>
            <w:noWrap w:val="0"/>
            <w:vAlign w:val="center"/>
          </w:tcPr>
          <w:p>
            <w:pPr>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生态效</w:t>
            </w:r>
          </w:p>
          <w:p>
            <w:pPr>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益指标</w:t>
            </w:r>
          </w:p>
        </w:tc>
        <w:tc>
          <w:tcPr>
            <w:tcW w:w="1230" w:type="dxa"/>
            <w:noWrap w:val="0"/>
            <w:vAlign w:val="center"/>
          </w:tcPr>
          <w:p>
            <w:pPr>
              <w:jc w:val="left"/>
              <w:rPr>
                <w:rFonts w:hint="eastAsia" w:eastAsia="仿宋" w:cs="仿宋"/>
                <w:sz w:val="20"/>
                <w:szCs w:val="20"/>
              </w:rPr>
            </w:pPr>
            <w:r>
              <w:rPr>
                <w:rFonts w:hint="eastAsia" w:eastAsia="仿宋" w:cs="仿宋"/>
                <w:sz w:val="20"/>
                <w:szCs w:val="20"/>
              </w:rPr>
              <w:t>不适用</w:t>
            </w:r>
          </w:p>
        </w:tc>
        <w:tc>
          <w:tcPr>
            <w:tcW w:w="1140" w:type="dxa"/>
            <w:noWrap w:val="0"/>
            <w:vAlign w:val="center"/>
          </w:tcPr>
          <w:p>
            <w:pPr>
              <w:jc w:val="left"/>
              <w:rPr>
                <w:rFonts w:hint="eastAsia" w:eastAsia="仿宋" w:cs="仿宋"/>
                <w:sz w:val="20"/>
                <w:szCs w:val="20"/>
              </w:rPr>
            </w:pPr>
            <w:r>
              <w:rPr>
                <w:rFonts w:eastAsia="仿宋" w:cs="仿宋"/>
                <w:sz w:val="20"/>
                <w:szCs w:val="20"/>
              </w:rPr>
              <w:t>　</w:t>
            </w:r>
            <w:r>
              <w:rPr>
                <w:rFonts w:hint="eastAsia" w:eastAsia="仿宋" w:cs="仿宋"/>
                <w:sz w:val="20"/>
                <w:szCs w:val="20"/>
              </w:rPr>
              <w:t>-</w:t>
            </w:r>
          </w:p>
        </w:tc>
        <w:tc>
          <w:tcPr>
            <w:tcW w:w="1140" w:type="dxa"/>
            <w:noWrap w:val="0"/>
            <w:vAlign w:val="center"/>
          </w:tcPr>
          <w:p>
            <w:pPr>
              <w:jc w:val="left"/>
              <w:rPr>
                <w:rFonts w:hint="eastAsia" w:eastAsia="仿宋" w:cs="仿宋"/>
                <w:sz w:val="20"/>
                <w:szCs w:val="20"/>
              </w:rPr>
            </w:pPr>
            <w:r>
              <w:rPr>
                <w:rFonts w:eastAsia="仿宋" w:cs="仿宋"/>
                <w:sz w:val="20"/>
                <w:szCs w:val="20"/>
              </w:rPr>
              <w:t>　</w:t>
            </w:r>
            <w:r>
              <w:rPr>
                <w:rFonts w:hint="eastAsia" w:eastAsia="仿宋" w:cs="仿宋"/>
                <w:sz w:val="20"/>
                <w:szCs w:val="20"/>
              </w:rPr>
              <w:t>-</w:t>
            </w:r>
          </w:p>
        </w:tc>
        <w:tc>
          <w:tcPr>
            <w:tcW w:w="832" w:type="dxa"/>
            <w:noWrap w:val="0"/>
            <w:vAlign w:val="center"/>
          </w:tcPr>
          <w:p>
            <w:pPr>
              <w:jc w:val="left"/>
              <w:rPr>
                <w:rFonts w:hint="eastAsia" w:eastAsia="仿宋" w:cs="仿宋"/>
                <w:sz w:val="20"/>
                <w:szCs w:val="20"/>
              </w:rPr>
            </w:pPr>
            <w:r>
              <w:rPr>
                <w:rFonts w:eastAsia="仿宋" w:cs="仿宋"/>
                <w:sz w:val="20"/>
                <w:szCs w:val="20"/>
              </w:rPr>
              <w:t>　</w:t>
            </w:r>
            <w:r>
              <w:rPr>
                <w:rFonts w:hint="eastAsia" w:eastAsia="仿宋" w:cs="仿宋"/>
                <w:sz w:val="20"/>
                <w:szCs w:val="20"/>
              </w:rPr>
              <w:t>-</w:t>
            </w:r>
          </w:p>
        </w:tc>
        <w:tc>
          <w:tcPr>
            <w:tcW w:w="877" w:type="dxa"/>
            <w:noWrap w:val="0"/>
            <w:vAlign w:val="center"/>
          </w:tcPr>
          <w:p>
            <w:pPr>
              <w:jc w:val="left"/>
              <w:rPr>
                <w:rFonts w:hint="eastAsia" w:eastAsia="仿宋" w:cs="仿宋"/>
                <w:sz w:val="20"/>
                <w:szCs w:val="20"/>
              </w:rPr>
            </w:pPr>
            <w:r>
              <w:rPr>
                <w:rFonts w:eastAsia="仿宋" w:cs="仿宋"/>
                <w:sz w:val="20"/>
                <w:szCs w:val="20"/>
              </w:rPr>
              <w:t>　</w:t>
            </w:r>
            <w:r>
              <w:rPr>
                <w:rFonts w:hint="eastAsia" w:eastAsia="仿宋" w:cs="仿宋"/>
                <w:sz w:val="20"/>
                <w:szCs w:val="20"/>
              </w:rPr>
              <w:t>-</w:t>
            </w:r>
          </w:p>
        </w:tc>
        <w:tc>
          <w:tcPr>
            <w:tcW w:w="1146" w:type="dxa"/>
            <w:noWrap w:val="0"/>
            <w:vAlign w:val="center"/>
          </w:tcPr>
          <w:p>
            <w:pPr>
              <w:jc w:val="left"/>
              <w:rPr>
                <w:rFonts w:hint="eastAsia" w:eastAsia="仿宋" w:cs="仿宋"/>
                <w:sz w:val="20"/>
                <w:szCs w:val="20"/>
              </w:rPr>
            </w:pPr>
            <w:r>
              <w:rPr>
                <w:rFonts w:eastAsia="仿宋" w:cs="仿宋"/>
                <w:sz w:val="20"/>
                <w:szCs w:val="20"/>
              </w:rPr>
              <w:t>　</w:t>
            </w:r>
            <w:r>
              <w:rPr>
                <w:rFonts w:hint="eastAsia" w:eastAsia="仿宋" w:cs="仿宋"/>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center"/>
              <w:rPr>
                <w:rFonts w:ascii="Times New Roman" w:hAnsi="Times New Roman" w:eastAsia="仿宋_GB2312"/>
                <w:color w:val="000000"/>
                <w:sz w:val="20"/>
                <w:szCs w:val="20"/>
              </w:rPr>
            </w:pPr>
          </w:p>
        </w:tc>
        <w:tc>
          <w:tcPr>
            <w:tcW w:w="1085" w:type="dxa"/>
            <w:vMerge w:val="continue"/>
            <w:noWrap w:val="0"/>
            <w:vAlign w:val="center"/>
          </w:tcPr>
          <w:p>
            <w:pPr>
              <w:jc w:val="left"/>
              <w:rPr>
                <w:rFonts w:ascii="Times New Roman" w:hAnsi="Times New Roman" w:eastAsia="仿宋_GB2312"/>
                <w:color w:val="000000"/>
                <w:sz w:val="20"/>
                <w:szCs w:val="20"/>
              </w:rPr>
            </w:pPr>
          </w:p>
        </w:tc>
        <w:tc>
          <w:tcPr>
            <w:tcW w:w="1085" w:type="dxa"/>
            <w:noWrap w:val="0"/>
            <w:vAlign w:val="center"/>
          </w:tcPr>
          <w:p>
            <w:pPr>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可持续影响指标</w:t>
            </w:r>
          </w:p>
        </w:tc>
        <w:tc>
          <w:tcPr>
            <w:tcW w:w="1230" w:type="dxa"/>
            <w:noWrap w:val="0"/>
            <w:vAlign w:val="center"/>
          </w:tcPr>
          <w:p>
            <w:pPr>
              <w:jc w:val="left"/>
              <w:rPr>
                <w:rFonts w:hint="eastAsia" w:eastAsia="仿宋" w:cs="仿宋"/>
                <w:sz w:val="20"/>
                <w:szCs w:val="20"/>
              </w:rPr>
            </w:pPr>
            <w:r>
              <w:rPr>
                <w:rFonts w:hint="eastAsia" w:eastAsia="仿宋" w:cs="仿宋"/>
                <w:sz w:val="20"/>
                <w:szCs w:val="20"/>
              </w:rPr>
              <w:t>提升红色文化主题公园影响力</w:t>
            </w:r>
          </w:p>
        </w:tc>
        <w:tc>
          <w:tcPr>
            <w:tcW w:w="1140" w:type="dxa"/>
            <w:noWrap w:val="0"/>
            <w:vAlign w:val="center"/>
          </w:tcPr>
          <w:p>
            <w:pPr>
              <w:jc w:val="left"/>
              <w:rPr>
                <w:rFonts w:hint="eastAsia" w:eastAsia="仿宋" w:cs="仿宋"/>
                <w:sz w:val="20"/>
                <w:szCs w:val="20"/>
              </w:rPr>
            </w:pPr>
            <w:r>
              <w:rPr>
                <w:rFonts w:eastAsia="仿宋" w:cs="仿宋"/>
                <w:sz w:val="20"/>
                <w:szCs w:val="20"/>
              </w:rPr>
              <w:t>　</w:t>
            </w:r>
            <w:r>
              <w:rPr>
                <w:rFonts w:hint="eastAsia" w:eastAsia="仿宋" w:cs="仿宋"/>
                <w:sz w:val="20"/>
                <w:szCs w:val="20"/>
              </w:rPr>
              <w:t>有效提升</w:t>
            </w:r>
          </w:p>
        </w:tc>
        <w:tc>
          <w:tcPr>
            <w:tcW w:w="1140" w:type="dxa"/>
            <w:noWrap w:val="0"/>
            <w:vAlign w:val="center"/>
          </w:tcPr>
          <w:p>
            <w:pPr>
              <w:jc w:val="left"/>
              <w:rPr>
                <w:rFonts w:hint="eastAsia" w:eastAsia="仿宋" w:cs="仿宋"/>
                <w:sz w:val="20"/>
                <w:szCs w:val="20"/>
              </w:rPr>
            </w:pPr>
            <w:r>
              <w:rPr>
                <w:rFonts w:eastAsia="仿宋" w:cs="仿宋"/>
                <w:sz w:val="20"/>
                <w:szCs w:val="20"/>
              </w:rPr>
              <w:t>　</w:t>
            </w:r>
            <w:r>
              <w:rPr>
                <w:rFonts w:hint="eastAsia" w:eastAsia="仿宋" w:cs="仿宋"/>
                <w:sz w:val="20"/>
                <w:szCs w:val="20"/>
              </w:rPr>
              <w:t>有效提升</w:t>
            </w:r>
          </w:p>
        </w:tc>
        <w:tc>
          <w:tcPr>
            <w:tcW w:w="832" w:type="dxa"/>
            <w:noWrap w:val="0"/>
            <w:vAlign w:val="center"/>
          </w:tcPr>
          <w:p>
            <w:pPr>
              <w:jc w:val="left"/>
              <w:rPr>
                <w:rFonts w:eastAsia="仿宋" w:cs="仿宋"/>
                <w:sz w:val="20"/>
                <w:szCs w:val="20"/>
              </w:rPr>
            </w:pPr>
            <w:r>
              <w:rPr>
                <w:rFonts w:eastAsia="仿宋" w:cs="仿宋"/>
                <w:sz w:val="20"/>
                <w:szCs w:val="20"/>
              </w:rPr>
              <w:t>　</w:t>
            </w:r>
            <w:r>
              <w:rPr>
                <w:rFonts w:hint="eastAsia" w:eastAsia="仿宋" w:cs="仿宋"/>
                <w:sz w:val="20"/>
                <w:szCs w:val="20"/>
              </w:rPr>
              <w:t>15</w:t>
            </w:r>
          </w:p>
        </w:tc>
        <w:tc>
          <w:tcPr>
            <w:tcW w:w="877" w:type="dxa"/>
            <w:noWrap w:val="0"/>
            <w:vAlign w:val="center"/>
          </w:tcPr>
          <w:p>
            <w:pPr>
              <w:jc w:val="left"/>
              <w:rPr>
                <w:rFonts w:eastAsia="仿宋" w:cs="仿宋"/>
                <w:sz w:val="20"/>
                <w:szCs w:val="20"/>
              </w:rPr>
            </w:pPr>
            <w:r>
              <w:rPr>
                <w:rFonts w:eastAsia="仿宋" w:cs="仿宋"/>
                <w:sz w:val="20"/>
                <w:szCs w:val="20"/>
              </w:rPr>
              <w:t>　</w:t>
            </w:r>
            <w:r>
              <w:rPr>
                <w:rFonts w:hint="eastAsia" w:eastAsia="仿宋" w:cs="仿宋"/>
                <w:sz w:val="20"/>
                <w:szCs w:val="20"/>
              </w:rPr>
              <w:t>15</w:t>
            </w:r>
          </w:p>
        </w:tc>
        <w:tc>
          <w:tcPr>
            <w:tcW w:w="1146" w:type="dxa"/>
            <w:noWrap w:val="0"/>
            <w:vAlign w:val="center"/>
          </w:tcPr>
          <w:p>
            <w:pPr>
              <w:jc w:val="left"/>
              <w:rPr>
                <w:rFonts w:hint="eastAsia" w:eastAsia="仿宋" w:cs="仿宋"/>
                <w:sz w:val="20"/>
                <w:szCs w:val="20"/>
              </w:rPr>
            </w:pPr>
            <w:r>
              <w:rPr>
                <w:rFonts w:eastAsia="仿宋" w:cs="仿宋"/>
                <w:sz w:val="20"/>
                <w:szCs w:val="20"/>
              </w:rPr>
              <w:t>　</w:t>
            </w:r>
            <w:r>
              <w:rPr>
                <w:rFonts w:hint="eastAsia" w:eastAsia="仿宋" w:cs="仿宋"/>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58" w:hRule="atLeast"/>
          <w:jc w:val="center"/>
        </w:trPr>
        <w:tc>
          <w:tcPr>
            <w:tcW w:w="921" w:type="dxa"/>
            <w:vMerge w:val="continue"/>
            <w:noWrap w:val="0"/>
            <w:vAlign w:val="center"/>
          </w:tcPr>
          <w:p>
            <w:pPr>
              <w:jc w:val="left"/>
              <w:rPr>
                <w:rFonts w:ascii="Times New Roman" w:hAnsi="Times New Roman" w:eastAsia="仿宋_GB2312"/>
                <w:color w:val="000000"/>
                <w:sz w:val="20"/>
                <w:szCs w:val="20"/>
              </w:rPr>
            </w:pPr>
          </w:p>
        </w:tc>
        <w:tc>
          <w:tcPr>
            <w:tcW w:w="1085" w:type="dxa"/>
            <w:noWrap w:val="0"/>
            <w:vAlign w:val="center"/>
          </w:tcPr>
          <w:p>
            <w:pPr>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满意度</w:t>
            </w:r>
          </w:p>
          <w:p>
            <w:pPr>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指标</w:t>
            </w:r>
          </w:p>
          <w:p>
            <w:pPr>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（10分）</w:t>
            </w:r>
          </w:p>
        </w:tc>
        <w:tc>
          <w:tcPr>
            <w:tcW w:w="1085" w:type="dxa"/>
            <w:noWrap w:val="0"/>
            <w:vAlign w:val="center"/>
          </w:tcPr>
          <w:p>
            <w:pPr>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服务对象满意度指标</w:t>
            </w:r>
          </w:p>
        </w:tc>
        <w:tc>
          <w:tcPr>
            <w:tcW w:w="1230" w:type="dxa"/>
            <w:noWrap w:val="0"/>
            <w:vAlign w:val="center"/>
          </w:tcPr>
          <w:p>
            <w:pPr>
              <w:jc w:val="left"/>
              <w:rPr>
                <w:rFonts w:eastAsia="仿宋" w:cs="仿宋"/>
                <w:sz w:val="20"/>
                <w:szCs w:val="20"/>
              </w:rPr>
            </w:pPr>
            <w:r>
              <w:rPr>
                <w:rFonts w:hint="eastAsia" w:eastAsia="仿宋" w:cs="仿宋"/>
                <w:sz w:val="20"/>
                <w:szCs w:val="20"/>
              </w:rPr>
              <w:t>市民游客满意度</w:t>
            </w:r>
          </w:p>
        </w:tc>
        <w:tc>
          <w:tcPr>
            <w:tcW w:w="1140" w:type="dxa"/>
            <w:noWrap w:val="0"/>
            <w:vAlign w:val="center"/>
          </w:tcPr>
          <w:p>
            <w:pPr>
              <w:jc w:val="left"/>
              <w:rPr>
                <w:rFonts w:eastAsia="仿宋" w:cs="仿宋"/>
                <w:sz w:val="20"/>
                <w:szCs w:val="20"/>
              </w:rPr>
            </w:pPr>
            <w:r>
              <w:rPr>
                <w:rFonts w:eastAsia="仿宋" w:cs="仿宋"/>
                <w:sz w:val="20"/>
                <w:szCs w:val="20"/>
              </w:rPr>
              <w:t>　</w:t>
            </w:r>
            <w:r>
              <w:rPr>
                <w:rFonts w:hint="eastAsia" w:eastAsia="仿宋" w:cs="仿宋"/>
                <w:sz w:val="20"/>
                <w:szCs w:val="20"/>
              </w:rPr>
              <w:t>95</w:t>
            </w:r>
          </w:p>
        </w:tc>
        <w:tc>
          <w:tcPr>
            <w:tcW w:w="1140" w:type="dxa"/>
            <w:noWrap w:val="0"/>
            <w:vAlign w:val="center"/>
          </w:tcPr>
          <w:p>
            <w:pPr>
              <w:jc w:val="left"/>
              <w:rPr>
                <w:rFonts w:eastAsia="仿宋" w:cs="仿宋"/>
                <w:sz w:val="20"/>
                <w:szCs w:val="20"/>
              </w:rPr>
            </w:pPr>
            <w:r>
              <w:rPr>
                <w:rFonts w:eastAsia="仿宋" w:cs="仿宋"/>
                <w:sz w:val="20"/>
                <w:szCs w:val="20"/>
              </w:rPr>
              <w:t>　</w:t>
            </w:r>
            <w:r>
              <w:rPr>
                <w:rFonts w:hint="eastAsia" w:eastAsia="仿宋" w:cs="仿宋"/>
                <w:sz w:val="20"/>
                <w:szCs w:val="20"/>
              </w:rPr>
              <w:t>95</w:t>
            </w:r>
          </w:p>
        </w:tc>
        <w:tc>
          <w:tcPr>
            <w:tcW w:w="832" w:type="dxa"/>
            <w:noWrap w:val="0"/>
            <w:vAlign w:val="center"/>
          </w:tcPr>
          <w:p>
            <w:pPr>
              <w:jc w:val="left"/>
              <w:rPr>
                <w:rFonts w:eastAsia="仿宋" w:cs="仿宋"/>
                <w:sz w:val="20"/>
                <w:szCs w:val="20"/>
              </w:rPr>
            </w:pPr>
            <w:r>
              <w:rPr>
                <w:rFonts w:eastAsia="仿宋" w:cs="仿宋"/>
                <w:sz w:val="20"/>
                <w:szCs w:val="20"/>
              </w:rPr>
              <w:t>　</w:t>
            </w:r>
            <w:r>
              <w:rPr>
                <w:rFonts w:hint="eastAsia" w:eastAsia="仿宋" w:cs="仿宋"/>
                <w:sz w:val="20"/>
                <w:szCs w:val="20"/>
              </w:rPr>
              <w:t>10</w:t>
            </w:r>
          </w:p>
        </w:tc>
        <w:tc>
          <w:tcPr>
            <w:tcW w:w="877" w:type="dxa"/>
            <w:noWrap w:val="0"/>
            <w:vAlign w:val="center"/>
          </w:tcPr>
          <w:p>
            <w:pPr>
              <w:jc w:val="left"/>
              <w:rPr>
                <w:rFonts w:eastAsia="仿宋" w:cs="仿宋"/>
                <w:sz w:val="20"/>
                <w:szCs w:val="20"/>
              </w:rPr>
            </w:pPr>
            <w:r>
              <w:rPr>
                <w:rFonts w:eastAsia="仿宋" w:cs="仿宋"/>
                <w:sz w:val="20"/>
                <w:szCs w:val="20"/>
              </w:rPr>
              <w:t>　</w:t>
            </w:r>
            <w:r>
              <w:rPr>
                <w:rFonts w:hint="eastAsia" w:eastAsia="仿宋" w:cs="仿宋"/>
                <w:sz w:val="20"/>
                <w:szCs w:val="20"/>
              </w:rPr>
              <w:t>10</w:t>
            </w:r>
          </w:p>
        </w:tc>
        <w:tc>
          <w:tcPr>
            <w:tcW w:w="1146" w:type="dxa"/>
            <w:noWrap w:val="0"/>
            <w:vAlign w:val="center"/>
          </w:tcPr>
          <w:p>
            <w:pPr>
              <w:jc w:val="left"/>
              <w:rPr>
                <w:rFonts w:eastAsia="仿宋" w:cs="仿宋"/>
                <w:sz w:val="20"/>
                <w:szCs w:val="20"/>
              </w:rPr>
            </w:pPr>
            <w:r>
              <w:rPr>
                <w:rFonts w:eastAsia="仿宋" w:cs="仿宋"/>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6601" w:type="dxa"/>
            <w:gridSpan w:val="6"/>
            <w:noWrap w:val="0"/>
            <w:vAlign w:val="center"/>
          </w:tcPr>
          <w:p>
            <w:pPr>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总分</w:t>
            </w:r>
          </w:p>
        </w:tc>
        <w:tc>
          <w:tcPr>
            <w:tcW w:w="832" w:type="dxa"/>
            <w:noWrap w:val="0"/>
            <w:vAlign w:val="center"/>
          </w:tcPr>
          <w:p>
            <w:pPr>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100</w:t>
            </w:r>
          </w:p>
        </w:tc>
        <w:tc>
          <w:tcPr>
            <w:tcW w:w="877" w:type="dxa"/>
            <w:noWrap w:val="0"/>
            <w:vAlign w:val="center"/>
          </w:tcPr>
          <w:p>
            <w:pPr>
              <w:jc w:val="left"/>
              <w:rPr>
                <w:rFonts w:ascii="Times New Roman" w:hAnsi="Times New Roman" w:eastAsia="仿宋_GB2312"/>
                <w:color w:val="000000"/>
                <w:sz w:val="20"/>
                <w:szCs w:val="20"/>
              </w:rPr>
            </w:pPr>
            <w:r>
              <w:rPr>
                <w:rFonts w:hint="eastAsia" w:ascii="Times New Roman" w:hAnsi="Times New Roman" w:eastAsia="仿宋_GB2312"/>
                <w:color w:val="000000"/>
                <w:sz w:val="20"/>
                <w:szCs w:val="20"/>
              </w:rPr>
              <w:t xml:space="preserve">  95</w:t>
            </w:r>
          </w:p>
        </w:tc>
        <w:tc>
          <w:tcPr>
            <w:tcW w:w="1146" w:type="dxa"/>
            <w:noWrap w:val="0"/>
            <w:vAlign w:val="center"/>
          </w:tcPr>
          <w:p>
            <w:pPr>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p>
        </w:tc>
      </w:tr>
    </w:tbl>
    <w:p>
      <w:pPr>
        <w:jc w:val="left"/>
        <w:rPr>
          <w:rFonts w:ascii="Times New Roman" w:hAnsi="Times New Roman" w:eastAsia="仿宋_GB2312"/>
          <w:sz w:val="20"/>
          <w:szCs w:val="20"/>
        </w:rPr>
      </w:pPr>
      <w:r>
        <w:rPr>
          <w:rFonts w:ascii="Times New Roman" w:hAnsi="Times New Roman" w:eastAsia="仿宋_GB2312"/>
          <w:sz w:val="20"/>
          <w:szCs w:val="20"/>
        </w:rPr>
        <w:t>备注：每个项目支出分别填报自评报告和自评表。</w:t>
      </w:r>
    </w:p>
    <w:p>
      <w:pPr>
        <w:widowControl/>
        <w:spacing w:line="600" w:lineRule="exact"/>
        <w:jc w:val="left"/>
        <w:rPr>
          <w:rFonts w:hint="eastAsia" w:ascii="黑体" w:eastAsia="黑体" w:cs="黑体"/>
          <w:color w:val="000000"/>
          <w:sz w:val="32"/>
          <w:szCs w:val="32"/>
        </w:rPr>
      </w:pPr>
      <w:r>
        <w:rPr>
          <w:rFonts w:ascii="Times New Roman" w:hAnsi="Times New Roman" w:eastAsia="仿宋_GB2312"/>
          <w:sz w:val="22"/>
        </w:rPr>
        <w:t>填表人：</w:t>
      </w:r>
      <w:r>
        <w:rPr>
          <w:rFonts w:hint="eastAsia" w:ascii="Times New Roman" w:hAnsi="Times New Roman" w:eastAsia="仿宋_GB2312"/>
          <w:sz w:val="22"/>
        </w:rPr>
        <w:t>刘青</w:t>
      </w:r>
      <w:r>
        <w:rPr>
          <w:rFonts w:ascii="Times New Roman" w:hAnsi="Times New Roman" w:eastAsia="仿宋_GB2312"/>
          <w:sz w:val="22"/>
        </w:rPr>
        <w:t xml:space="preserve">  填报日期：</w:t>
      </w:r>
      <w:r>
        <w:rPr>
          <w:rFonts w:hint="eastAsia" w:ascii="Times New Roman" w:hAnsi="Times New Roman" w:eastAsia="仿宋_GB2312"/>
          <w:sz w:val="22"/>
        </w:rPr>
        <w:t>2022年4月16日</w:t>
      </w:r>
      <w:r>
        <w:rPr>
          <w:rFonts w:ascii="Times New Roman" w:hAnsi="Times New Roman" w:eastAsia="仿宋_GB2312"/>
          <w:sz w:val="22"/>
        </w:rPr>
        <w:t xml:space="preserve"> 联系电话： </w:t>
      </w:r>
      <w:r>
        <w:rPr>
          <w:rFonts w:hint="eastAsia" w:ascii="Times New Roman" w:hAnsi="Times New Roman" w:eastAsia="仿宋_GB2312"/>
          <w:sz w:val="22"/>
        </w:rPr>
        <w:t>13873563276</w:t>
      </w:r>
      <w:r>
        <w:rPr>
          <w:rFonts w:ascii="Times New Roman" w:hAnsi="Times New Roman" w:eastAsia="仿宋_GB2312"/>
          <w:sz w:val="22"/>
        </w:rPr>
        <w:t xml:space="preserve">  单位负责人签字：</w:t>
      </w:r>
    </w:p>
    <w:p>
      <w:pPr>
        <w:widowControl/>
        <w:spacing w:line="600" w:lineRule="exact"/>
        <w:jc w:val="left"/>
        <w:rPr>
          <w:rFonts w:ascii="黑体" w:eastAsia="黑体" w:cs="黑体"/>
          <w:color w:val="000000"/>
          <w:sz w:val="32"/>
          <w:szCs w:val="32"/>
        </w:rPr>
      </w:pPr>
      <w:r>
        <w:rPr>
          <w:rFonts w:hint="eastAsia" w:ascii="黑体" w:eastAsia="黑体" w:cs="黑体"/>
          <w:color w:val="000000"/>
          <w:sz w:val="32"/>
          <w:szCs w:val="32"/>
        </w:rPr>
        <w:t>附件4</w:t>
      </w:r>
    </w:p>
    <w:p>
      <w:pPr>
        <w:widowControl/>
        <w:spacing w:line="576" w:lineRule="exact"/>
        <w:ind w:firstLine="1800" w:firstLineChars="500"/>
        <w:rPr>
          <w:rFonts w:ascii="方正小标宋_GBK" w:eastAsia="方正小标宋_GBK" w:cs="方正小标宋_GBK"/>
          <w:sz w:val="36"/>
          <w:szCs w:val="36"/>
          <w:u w:val="single"/>
        </w:rPr>
      </w:pPr>
      <w:r>
        <w:rPr>
          <w:rFonts w:hint="eastAsia" w:ascii="方正小标宋_GBK" w:eastAsia="方正小标宋_GBK" w:cs="方正小标宋_GBK"/>
          <w:bCs/>
          <w:sz w:val="36"/>
          <w:szCs w:val="36"/>
        </w:rPr>
        <w:t>2021年度项目支出绩效自评报告</w:t>
      </w:r>
    </w:p>
    <w:tbl>
      <w:tblPr>
        <w:tblStyle w:val="7"/>
        <w:tblpPr w:leftFromText="180" w:rightFromText="180" w:vertAnchor="text" w:horzAnchor="margin" w:tblpXSpec="center" w:tblpY="189"/>
        <w:tblW w:w="9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7"/>
        <w:gridCol w:w="1985"/>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67" w:type="dxa"/>
            <w:vMerge w:val="restart"/>
            <w:noWrap w:val="0"/>
            <w:vAlign w:val="center"/>
          </w:tcPr>
          <w:p>
            <w:pPr>
              <w:spacing w:line="576" w:lineRule="exact"/>
              <w:jc w:val="center"/>
              <w:rPr>
                <w:rFonts w:hint="eastAsia" w:eastAsia="仿宋" w:cs="仿宋"/>
                <w:sz w:val="18"/>
                <w:szCs w:val="18"/>
              </w:rPr>
            </w:pPr>
            <w:r>
              <w:rPr>
                <w:rFonts w:hint="eastAsia" w:eastAsia="仿宋" w:cs="仿宋"/>
                <w:sz w:val="18"/>
                <w:szCs w:val="18"/>
              </w:rPr>
              <w:t>部门概况</w:t>
            </w:r>
          </w:p>
        </w:tc>
        <w:tc>
          <w:tcPr>
            <w:tcW w:w="1985" w:type="dxa"/>
            <w:noWrap w:val="0"/>
            <w:vAlign w:val="center"/>
          </w:tcPr>
          <w:p>
            <w:pPr>
              <w:spacing w:line="576" w:lineRule="exact"/>
              <w:jc w:val="center"/>
              <w:rPr>
                <w:rFonts w:hint="eastAsia" w:eastAsia="仿宋" w:cs="仿宋"/>
                <w:sz w:val="18"/>
                <w:szCs w:val="18"/>
              </w:rPr>
            </w:pPr>
            <w:r>
              <w:rPr>
                <w:rFonts w:hint="eastAsia" w:eastAsia="仿宋" w:cs="仿宋"/>
                <w:sz w:val="18"/>
                <w:szCs w:val="18"/>
              </w:rPr>
              <w:t>专项名称</w:t>
            </w:r>
          </w:p>
        </w:tc>
        <w:tc>
          <w:tcPr>
            <w:tcW w:w="5670" w:type="dxa"/>
            <w:noWrap w:val="0"/>
            <w:vAlign w:val="center"/>
          </w:tcPr>
          <w:p>
            <w:pPr>
              <w:spacing w:line="576" w:lineRule="exact"/>
              <w:ind w:right="879" w:rightChars="419"/>
              <w:jc w:val="center"/>
              <w:rPr>
                <w:rFonts w:hint="eastAsia" w:eastAsia="仿宋" w:cs="仿宋"/>
                <w:sz w:val="18"/>
                <w:szCs w:val="18"/>
              </w:rPr>
            </w:pPr>
            <w:r>
              <w:rPr>
                <w:rFonts w:hint="eastAsia" w:eastAsia="仿宋" w:cs="仿宋"/>
                <w:sz w:val="18"/>
                <w:szCs w:val="18"/>
              </w:rPr>
              <w:t>庆祝建党100周年活动资金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67" w:type="dxa"/>
            <w:vMerge w:val="continue"/>
            <w:noWrap w:val="0"/>
            <w:vAlign w:val="top"/>
          </w:tcPr>
          <w:p>
            <w:pPr>
              <w:rPr>
                <w:rFonts w:hint="eastAsia" w:eastAsia="仿宋" w:cs="仿宋"/>
                <w:sz w:val="18"/>
                <w:szCs w:val="18"/>
              </w:rPr>
            </w:pPr>
          </w:p>
        </w:tc>
        <w:tc>
          <w:tcPr>
            <w:tcW w:w="1985" w:type="dxa"/>
            <w:noWrap w:val="0"/>
            <w:vAlign w:val="center"/>
          </w:tcPr>
          <w:p>
            <w:pPr>
              <w:spacing w:line="576" w:lineRule="exact"/>
              <w:jc w:val="center"/>
              <w:rPr>
                <w:rFonts w:hint="eastAsia" w:eastAsia="仿宋" w:cs="仿宋"/>
                <w:sz w:val="18"/>
                <w:szCs w:val="18"/>
              </w:rPr>
            </w:pPr>
            <w:r>
              <w:rPr>
                <w:rFonts w:hint="eastAsia" w:eastAsia="仿宋" w:cs="仿宋"/>
                <w:sz w:val="18"/>
                <w:szCs w:val="18"/>
              </w:rPr>
              <w:t>年度预算金额</w:t>
            </w:r>
          </w:p>
        </w:tc>
        <w:tc>
          <w:tcPr>
            <w:tcW w:w="5670" w:type="dxa"/>
            <w:noWrap w:val="0"/>
            <w:vAlign w:val="center"/>
          </w:tcPr>
          <w:p>
            <w:pPr>
              <w:spacing w:line="576" w:lineRule="exact"/>
              <w:ind w:right="879" w:rightChars="419"/>
              <w:jc w:val="center"/>
              <w:rPr>
                <w:rFonts w:hint="eastAsia" w:eastAsia="仿宋" w:cs="仿宋"/>
                <w:sz w:val="18"/>
                <w:szCs w:val="18"/>
              </w:rPr>
            </w:pPr>
            <w:r>
              <w:rPr>
                <w:rFonts w:hint="eastAsia" w:eastAsia="仿宋" w:cs="仿宋"/>
                <w:sz w:val="18"/>
                <w:szCs w:val="18"/>
              </w:rPr>
              <w:t>73.69万元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67" w:type="dxa"/>
            <w:vMerge w:val="continue"/>
            <w:noWrap w:val="0"/>
            <w:vAlign w:val="top"/>
          </w:tcPr>
          <w:p>
            <w:pPr>
              <w:rPr>
                <w:rFonts w:hint="eastAsia" w:eastAsia="仿宋" w:cs="仿宋"/>
                <w:sz w:val="18"/>
                <w:szCs w:val="18"/>
              </w:rPr>
            </w:pPr>
          </w:p>
        </w:tc>
        <w:tc>
          <w:tcPr>
            <w:tcW w:w="1985" w:type="dxa"/>
            <w:noWrap w:val="0"/>
            <w:vAlign w:val="center"/>
          </w:tcPr>
          <w:p>
            <w:pPr>
              <w:spacing w:line="576" w:lineRule="exact"/>
              <w:jc w:val="center"/>
              <w:rPr>
                <w:rFonts w:hint="eastAsia" w:eastAsia="仿宋" w:cs="仿宋"/>
                <w:sz w:val="18"/>
                <w:szCs w:val="18"/>
              </w:rPr>
            </w:pPr>
            <w:r>
              <w:rPr>
                <w:rFonts w:hint="eastAsia" w:eastAsia="仿宋" w:cs="仿宋"/>
                <w:sz w:val="18"/>
                <w:szCs w:val="18"/>
              </w:rPr>
              <w:t>项目主管部门</w:t>
            </w:r>
          </w:p>
        </w:tc>
        <w:tc>
          <w:tcPr>
            <w:tcW w:w="5670" w:type="dxa"/>
            <w:noWrap w:val="0"/>
            <w:vAlign w:val="center"/>
          </w:tcPr>
          <w:p>
            <w:pPr>
              <w:spacing w:line="576" w:lineRule="exact"/>
              <w:ind w:right="879" w:rightChars="419"/>
              <w:jc w:val="center"/>
              <w:rPr>
                <w:rFonts w:hint="eastAsia" w:eastAsia="仿宋" w:cs="仿宋"/>
                <w:sz w:val="18"/>
                <w:szCs w:val="18"/>
              </w:rPr>
            </w:pPr>
            <w:r>
              <w:rPr>
                <w:rFonts w:hint="eastAsia" w:eastAsia="仿宋" w:cs="仿宋"/>
                <w:sz w:val="18"/>
                <w:szCs w:val="18"/>
              </w:rPr>
              <w:t>郴州市文化旅游广电体育局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67" w:type="dxa"/>
            <w:vMerge w:val="continue"/>
            <w:noWrap w:val="0"/>
            <w:vAlign w:val="top"/>
          </w:tcPr>
          <w:p>
            <w:pPr>
              <w:rPr>
                <w:rFonts w:hint="eastAsia" w:eastAsia="仿宋" w:cs="仿宋"/>
                <w:sz w:val="18"/>
                <w:szCs w:val="18"/>
              </w:rPr>
            </w:pPr>
          </w:p>
        </w:tc>
        <w:tc>
          <w:tcPr>
            <w:tcW w:w="1985" w:type="dxa"/>
            <w:noWrap w:val="0"/>
            <w:vAlign w:val="center"/>
          </w:tcPr>
          <w:p>
            <w:pPr>
              <w:spacing w:line="576" w:lineRule="exact"/>
              <w:jc w:val="center"/>
              <w:rPr>
                <w:rFonts w:hint="eastAsia" w:eastAsia="仿宋" w:cs="仿宋"/>
                <w:sz w:val="18"/>
                <w:szCs w:val="18"/>
              </w:rPr>
            </w:pPr>
            <w:r>
              <w:rPr>
                <w:rFonts w:hint="eastAsia" w:eastAsia="仿宋" w:cs="仿宋"/>
                <w:sz w:val="18"/>
                <w:szCs w:val="18"/>
              </w:rPr>
              <w:t>项目立项目的</w:t>
            </w:r>
          </w:p>
        </w:tc>
        <w:tc>
          <w:tcPr>
            <w:tcW w:w="5670" w:type="dxa"/>
            <w:noWrap w:val="0"/>
            <w:vAlign w:val="center"/>
          </w:tcPr>
          <w:p>
            <w:pPr>
              <w:spacing w:line="576" w:lineRule="exact"/>
              <w:ind w:right="879" w:rightChars="419" w:firstLine="360" w:firstLineChars="200"/>
              <w:jc w:val="center"/>
              <w:rPr>
                <w:rFonts w:hint="eastAsia" w:eastAsia="仿宋" w:cs="仿宋"/>
                <w:sz w:val="18"/>
                <w:szCs w:val="18"/>
              </w:rPr>
            </w:pPr>
            <w:r>
              <w:rPr>
                <w:rFonts w:hint="eastAsia" w:eastAsia="仿宋" w:cs="仿宋"/>
                <w:sz w:val="18"/>
                <w:szCs w:val="18"/>
              </w:rPr>
              <w:t>为庆祝建党100周年开展专题活动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1567" w:type="dxa"/>
            <w:vMerge w:val="restart"/>
            <w:noWrap w:val="0"/>
            <w:vAlign w:val="center"/>
          </w:tcPr>
          <w:p>
            <w:pPr>
              <w:spacing w:line="576" w:lineRule="exact"/>
              <w:jc w:val="center"/>
              <w:rPr>
                <w:rFonts w:hint="eastAsia" w:eastAsia="仿宋" w:cs="仿宋"/>
                <w:sz w:val="18"/>
                <w:szCs w:val="18"/>
              </w:rPr>
            </w:pPr>
            <w:r>
              <w:rPr>
                <w:rFonts w:hint="eastAsia" w:eastAsia="仿宋" w:cs="仿宋"/>
                <w:sz w:val="18"/>
                <w:szCs w:val="18"/>
              </w:rPr>
              <w:t>绩效情况</w:t>
            </w:r>
          </w:p>
        </w:tc>
        <w:tc>
          <w:tcPr>
            <w:tcW w:w="1985" w:type="dxa"/>
            <w:noWrap w:val="0"/>
            <w:vAlign w:val="center"/>
          </w:tcPr>
          <w:p>
            <w:pPr>
              <w:spacing w:line="576" w:lineRule="exact"/>
              <w:jc w:val="center"/>
              <w:rPr>
                <w:rFonts w:hint="eastAsia" w:eastAsia="仿宋" w:cs="仿宋"/>
                <w:sz w:val="18"/>
                <w:szCs w:val="18"/>
              </w:rPr>
            </w:pPr>
            <w:r>
              <w:rPr>
                <w:rFonts w:hint="eastAsia" w:eastAsia="仿宋" w:cs="仿宋"/>
                <w:sz w:val="18"/>
                <w:szCs w:val="18"/>
              </w:rPr>
              <w:t>项目支出管理和使用基本情况</w:t>
            </w:r>
          </w:p>
        </w:tc>
        <w:tc>
          <w:tcPr>
            <w:tcW w:w="5670" w:type="dxa"/>
            <w:noWrap w:val="0"/>
            <w:vAlign w:val="center"/>
          </w:tcPr>
          <w:p>
            <w:pPr>
              <w:widowControl/>
              <w:shd w:val="clear" w:color="auto" w:fill="FFFFFF"/>
              <w:spacing w:before="60" w:after="150"/>
              <w:jc w:val="left"/>
              <w:rPr>
                <w:rFonts w:hint="eastAsia" w:eastAsia="仿宋" w:cs="仿宋"/>
                <w:sz w:val="18"/>
                <w:szCs w:val="18"/>
              </w:rPr>
            </w:pPr>
            <w:r>
              <w:rPr>
                <w:rFonts w:hint="eastAsia" w:eastAsia="仿宋" w:cs="仿宋"/>
                <w:color w:val="000000"/>
                <w:sz w:val="18"/>
                <w:szCs w:val="18"/>
              </w:rPr>
              <w:t>1、按计划、按进度申报资金，2、按项目预算设定的用途使用。3、全年预算73.69万元，本年支出73.69万元，该资金主要用于</w:t>
            </w:r>
            <w:r>
              <w:rPr>
                <w:rFonts w:hint="eastAsia" w:eastAsia="仿宋" w:cs="仿宋"/>
                <w:color w:val="000000"/>
                <w:sz w:val="18"/>
                <w:szCs w:val="18"/>
                <w:lang w:val="zh-CN"/>
              </w:rPr>
              <w:t>展厅改造、触摸屏购置、图片陈展、对外宣传、红色文物征集、文艺晚会音响舞台租赁费等费用支出。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67" w:type="dxa"/>
            <w:vMerge w:val="continue"/>
            <w:noWrap w:val="0"/>
            <w:vAlign w:val="top"/>
          </w:tcPr>
          <w:p>
            <w:pPr>
              <w:rPr>
                <w:rFonts w:hint="eastAsia" w:eastAsia="仿宋" w:cs="仿宋"/>
                <w:sz w:val="18"/>
                <w:szCs w:val="18"/>
              </w:rPr>
            </w:pPr>
          </w:p>
        </w:tc>
        <w:tc>
          <w:tcPr>
            <w:tcW w:w="1985" w:type="dxa"/>
            <w:noWrap w:val="0"/>
            <w:vAlign w:val="center"/>
          </w:tcPr>
          <w:p>
            <w:pPr>
              <w:spacing w:line="576" w:lineRule="exact"/>
              <w:jc w:val="center"/>
              <w:rPr>
                <w:rFonts w:hint="eastAsia" w:eastAsia="仿宋" w:cs="仿宋"/>
                <w:sz w:val="18"/>
                <w:szCs w:val="18"/>
              </w:rPr>
            </w:pPr>
            <w:r>
              <w:rPr>
                <w:rFonts w:hint="eastAsia" w:eastAsia="仿宋" w:cs="仿宋"/>
                <w:sz w:val="18"/>
                <w:szCs w:val="18"/>
              </w:rPr>
              <w:t>项目绩效目标完成情况</w:t>
            </w:r>
          </w:p>
        </w:tc>
        <w:tc>
          <w:tcPr>
            <w:tcW w:w="5670" w:type="dxa"/>
            <w:noWrap w:val="0"/>
            <w:vAlign w:val="center"/>
          </w:tcPr>
          <w:p>
            <w:pPr>
              <w:widowControl/>
              <w:shd w:val="clear" w:color="auto" w:fill="FFFFFF"/>
              <w:spacing w:before="60" w:after="150"/>
              <w:jc w:val="left"/>
              <w:rPr>
                <w:rFonts w:hint="eastAsia" w:eastAsia="仿宋" w:cs="仿宋"/>
                <w:color w:val="000000"/>
                <w:sz w:val="18"/>
                <w:szCs w:val="18"/>
              </w:rPr>
            </w:pPr>
            <w:r>
              <w:rPr>
                <w:rFonts w:hint="eastAsia" w:eastAsia="仿宋" w:cs="仿宋"/>
                <w:color w:val="000000"/>
                <w:sz w:val="18"/>
                <w:szCs w:val="18"/>
              </w:rPr>
              <w:t>1、建党100周年大型文艺演出活动</w:t>
            </w:r>
          </w:p>
          <w:p>
            <w:pPr>
              <w:widowControl/>
              <w:shd w:val="clear" w:color="auto" w:fill="FFFFFF"/>
              <w:spacing w:before="60" w:after="150"/>
              <w:jc w:val="left"/>
              <w:rPr>
                <w:rFonts w:hint="eastAsia" w:eastAsia="仿宋" w:cs="仿宋"/>
                <w:color w:val="000000"/>
                <w:sz w:val="18"/>
                <w:szCs w:val="18"/>
              </w:rPr>
            </w:pPr>
            <w:r>
              <w:rPr>
                <w:rFonts w:hint="eastAsia" w:eastAsia="仿宋" w:cs="仿宋"/>
                <w:color w:val="000000"/>
                <w:sz w:val="18"/>
                <w:szCs w:val="18"/>
              </w:rPr>
              <w:t>2、纪念馆展厅建党100周年陈列布展</w:t>
            </w:r>
          </w:p>
          <w:p>
            <w:pPr>
              <w:widowControl/>
              <w:shd w:val="clear" w:color="auto" w:fill="FFFFFF"/>
              <w:spacing w:before="60" w:after="150"/>
              <w:jc w:val="left"/>
              <w:rPr>
                <w:rFonts w:hint="eastAsia" w:eastAsia="仿宋" w:cs="仿宋"/>
                <w:color w:val="000000"/>
                <w:sz w:val="18"/>
                <w:szCs w:val="18"/>
              </w:rPr>
            </w:pPr>
            <w:r>
              <w:rPr>
                <w:rFonts w:hint="eastAsia" w:eastAsia="仿宋" w:cs="仿宋"/>
                <w:color w:val="000000"/>
                <w:sz w:val="18"/>
                <w:szCs w:val="18"/>
              </w:rPr>
              <w:t>3、文物征集</w:t>
            </w:r>
          </w:p>
          <w:p>
            <w:pPr>
              <w:widowControl/>
              <w:shd w:val="clear" w:color="auto" w:fill="FFFFFF"/>
              <w:spacing w:before="60" w:after="150"/>
              <w:jc w:val="left"/>
            </w:pPr>
            <w:r>
              <w:rPr>
                <w:rFonts w:hint="eastAsia" w:eastAsia="仿宋" w:cs="仿宋"/>
                <w:color w:val="000000"/>
                <w:sz w:val="18"/>
                <w:szCs w:val="18"/>
              </w:rPr>
              <w:t>通过建党100周年大型文艺演出活动、纪念馆展厅建党100周年陈列布</w:t>
            </w:r>
            <w:r>
              <w:rPr>
                <w:rFonts w:hint="eastAsia" w:eastAsia="仿宋" w:cs="仿宋"/>
                <w:sz w:val="18"/>
                <w:szCs w:val="18"/>
              </w:rPr>
              <w:t>展、文物征集，达到了广泛宣传中国共产党百年前的峥嵘岁月，无数革命先烈前赴后继抛头颅洒热血，为我们换来了今天的幸福生活。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1567" w:type="dxa"/>
            <w:vMerge w:val="restart"/>
            <w:noWrap w:val="0"/>
            <w:vAlign w:val="center"/>
          </w:tcPr>
          <w:p>
            <w:pPr>
              <w:spacing w:line="576" w:lineRule="exact"/>
              <w:jc w:val="center"/>
              <w:rPr>
                <w:rFonts w:hint="eastAsia" w:eastAsia="仿宋" w:cs="仿宋"/>
                <w:sz w:val="18"/>
                <w:szCs w:val="18"/>
              </w:rPr>
            </w:pPr>
            <w:r>
              <w:rPr>
                <w:rFonts w:hint="eastAsia" w:eastAsia="仿宋" w:cs="仿宋"/>
                <w:sz w:val="18"/>
                <w:szCs w:val="18"/>
              </w:rPr>
              <w:t>存在的问题分析及改进措施</w:t>
            </w:r>
          </w:p>
        </w:tc>
        <w:tc>
          <w:tcPr>
            <w:tcW w:w="1985" w:type="dxa"/>
            <w:noWrap w:val="0"/>
            <w:vAlign w:val="center"/>
          </w:tcPr>
          <w:p>
            <w:pPr>
              <w:spacing w:line="576" w:lineRule="exact"/>
              <w:jc w:val="center"/>
              <w:rPr>
                <w:rFonts w:hint="eastAsia" w:eastAsia="仿宋" w:cs="仿宋"/>
                <w:sz w:val="18"/>
                <w:szCs w:val="18"/>
              </w:rPr>
            </w:pPr>
            <w:r>
              <w:rPr>
                <w:rFonts w:hint="eastAsia" w:eastAsia="仿宋" w:cs="仿宋"/>
                <w:sz w:val="18"/>
                <w:szCs w:val="18"/>
              </w:rPr>
              <w:t>存在的问题</w:t>
            </w:r>
          </w:p>
        </w:tc>
        <w:tc>
          <w:tcPr>
            <w:tcW w:w="5670" w:type="dxa"/>
            <w:noWrap w:val="0"/>
            <w:vAlign w:val="center"/>
          </w:tcPr>
          <w:p>
            <w:pPr>
              <w:spacing w:line="576" w:lineRule="exact"/>
              <w:ind w:right="879" w:rightChars="419"/>
              <w:rPr>
                <w:rFonts w:hint="eastAsia" w:eastAsia="仿宋" w:cs="仿宋"/>
                <w:sz w:val="18"/>
                <w:szCs w:val="18"/>
              </w:rPr>
            </w:pPr>
            <w:r>
              <w:rPr>
                <w:rFonts w:hint="eastAsia" w:eastAsia="仿宋" w:cs="仿宋"/>
                <w:sz w:val="18"/>
                <w:szCs w:val="18"/>
              </w:rPr>
              <w:t>上半年由于疫情影响，导致文物征集工作滞后。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1567" w:type="dxa"/>
            <w:vMerge w:val="continue"/>
            <w:noWrap w:val="0"/>
            <w:vAlign w:val="top"/>
          </w:tcPr>
          <w:p>
            <w:pPr>
              <w:rPr>
                <w:rFonts w:hint="eastAsia" w:eastAsia="仿宋" w:cs="仿宋"/>
                <w:sz w:val="18"/>
                <w:szCs w:val="18"/>
              </w:rPr>
            </w:pPr>
          </w:p>
        </w:tc>
        <w:tc>
          <w:tcPr>
            <w:tcW w:w="1985" w:type="dxa"/>
            <w:noWrap w:val="0"/>
            <w:vAlign w:val="center"/>
          </w:tcPr>
          <w:p>
            <w:pPr>
              <w:spacing w:line="576" w:lineRule="exact"/>
              <w:jc w:val="center"/>
              <w:rPr>
                <w:rFonts w:hint="eastAsia" w:eastAsia="仿宋" w:cs="仿宋"/>
                <w:sz w:val="18"/>
                <w:szCs w:val="18"/>
              </w:rPr>
            </w:pPr>
            <w:r>
              <w:rPr>
                <w:rFonts w:hint="eastAsia" w:eastAsia="仿宋" w:cs="仿宋"/>
                <w:sz w:val="18"/>
                <w:szCs w:val="18"/>
              </w:rPr>
              <w:t>改进措施</w:t>
            </w:r>
          </w:p>
        </w:tc>
        <w:tc>
          <w:tcPr>
            <w:tcW w:w="5670" w:type="dxa"/>
            <w:noWrap w:val="0"/>
            <w:vAlign w:val="center"/>
          </w:tcPr>
          <w:p>
            <w:pPr>
              <w:spacing w:line="576" w:lineRule="exact"/>
              <w:ind w:right="879" w:rightChars="419"/>
              <w:jc w:val="left"/>
              <w:rPr>
                <w:rFonts w:hint="eastAsia" w:eastAsia="仿宋" w:cs="仿宋"/>
                <w:sz w:val="18"/>
                <w:szCs w:val="18"/>
              </w:rPr>
            </w:pPr>
            <w:r>
              <w:rPr>
                <w:rFonts w:hint="eastAsia" w:eastAsia="仿宋" w:cs="仿宋"/>
                <w:sz w:val="18"/>
                <w:szCs w:val="18"/>
              </w:rPr>
              <w:t>下半年，疫情封控情况好转后，我园立即组织专家组赴征集地对文物进行甄别，共采购红色文物40余件。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567" w:type="dxa"/>
            <w:vMerge w:val="continue"/>
            <w:noWrap w:val="0"/>
            <w:vAlign w:val="top"/>
          </w:tcPr>
          <w:p>
            <w:pPr>
              <w:rPr>
                <w:rFonts w:hint="eastAsia" w:eastAsia="仿宋" w:cs="仿宋"/>
                <w:sz w:val="18"/>
                <w:szCs w:val="18"/>
              </w:rPr>
            </w:pPr>
          </w:p>
        </w:tc>
        <w:tc>
          <w:tcPr>
            <w:tcW w:w="1985" w:type="dxa"/>
            <w:noWrap w:val="0"/>
            <w:vAlign w:val="center"/>
          </w:tcPr>
          <w:p>
            <w:pPr>
              <w:spacing w:line="576" w:lineRule="exact"/>
              <w:jc w:val="center"/>
              <w:rPr>
                <w:rFonts w:hint="eastAsia" w:eastAsia="仿宋" w:cs="仿宋"/>
                <w:sz w:val="18"/>
                <w:szCs w:val="18"/>
              </w:rPr>
            </w:pPr>
            <w:r>
              <w:rPr>
                <w:rFonts w:hint="eastAsia" w:eastAsia="仿宋" w:cs="仿宋"/>
                <w:sz w:val="18"/>
                <w:szCs w:val="18"/>
              </w:rPr>
              <w:t>其他需要说明问题</w:t>
            </w:r>
          </w:p>
        </w:tc>
        <w:tc>
          <w:tcPr>
            <w:tcW w:w="5670" w:type="dxa"/>
            <w:noWrap w:val="0"/>
            <w:vAlign w:val="center"/>
          </w:tcPr>
          <w:p>
            <w:pPr>
              <w:spacing w:line="576" w:lineRule="exact"/>
              <w:ind w:right="879" w:rightChars="419"/>
              <w:rPr>
                <w:rFonts w:hint="eastAsia" w:eastAsia="仿宋" w:cs="仿宋"/>
                <w:sz w:val="18"/>
                <w:szCs w:val="18"/>
              </w:rPr>
            </w:pPr>
            <w:r>
              <w:rPr>
                <w:rFonts w:hint="eastAsia" w:eastAsia="仿宋" w:cs="仿宋"/>
                <w:sz w:val="18"/>
                <w:szCs w:val="18"/>
              </w:rPr>
              <w:t>无</w:t>
            </w:r>
          </w:p>
        </w:tc>
      </w:tr>
    </w:tbl>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r>
        <w:rPr>
          <w:rFonts w:hint="eastAsia" w:eastAsia="仿宋" w:cs="仿宋"/>
          <w:sz w:val="18"/>
          <w:szCs w:val="18"/>
        </w:rPr>
        <w:t>备注：每个项目支出分别填报自评报告和自评表。</w:t>
      </w:r>
    </w:p>
    <w:p>
      <w:pPr>
        <w:pStyle w:val="2"/>
        <w:rPr>
          <w:rFonts w:ascii="Times New Roman" w:hAnsi="Times New Roman" w:eastAsia="仿宋_GB2312"/>
          <w:sz w:val="22"/>
        </w:rPr>
      </w:pPr>
    </w:p>
    <w:p>
      <w:pPr>
        <w:pStyle w:val="2"/>
        <w:rPr>
          <w:rFonts w:ascii="Times New Roman" w:hAnsi="Times New Roman" w:eastAsia="黑体"/>
          <w:color w:val="000000"/>
          <w:sz w:val="32"/>
          <w:szCs w:val="32"/>
        </w:rPr>
      </w:pPr>
      <w:r>
        <w:rPr>
          <w:rFonts w:ascii="Times New Roman" w:hAnsi="Times New Roman" w:eastAsia="仿宋_GB2312"/>
          <w:sz w:val="22"/>
        </w:rPr>
        <w:t>填表人：</w:t>
      </w:r>
      <w:r>
        <w:rPr>
          <w:rFonts w:hint="eastAsia" w:ascii="Times New Roman" w:hAnsi="Times New Roman" w:eastAsia="仿宋_GB2312"/>
          <w:sz w:val="22"/>
        </w:rPr>
        <w:t>刘青</w:t>
      </w:r>
      <w:r>
        <w:rPr>
          <w:rFonts w:ascii="Times New Roman" w:hAnsi="Times New Roman" w:eastAsia="仿宋_GB2312"/>
          <w:sz w:val="22"/>
        </w:rPr>
        <w:t xml:space="preserve">  填报日期：</w:t>
      </w:r>
      <w:r>
        <w:rPr>
          <w:rFonts w:hint="eastAsia" w:ascii="Times New Roman" w:hAnsi="Times New Roman" w:eastAsia="仿宋_GB2312"/>
          <w:sz w:val="22"/>
        </w:rPr>
        <w:t>2022年4月16日</w:t>
      </w:r>
      <w:r>
        <w:rPr>
          <w:rFonts w:ascii="Times New Roman" w:hAnsi="Times New Roman" w:eastAsia="仿宋_GB2312"/>
          <w:sz w:val="22"/>
        </w:rPr>
        <w:t xml:space="preserve"> 联系电话： </w:t>
      </w:r>
      <w:r>
        <w:rPr>
          <w:rFonts w:hint="eastAsia" w:ascii="Times New Roman" w:hAnsi="Times New Roman" w:eastAsia="仿宋_GB2312"/>
          <w:sz w:val="22"/>
        </w:rPr>
        <w:t>13873563276</w:t>
      </w:r>
      <w:r>
        <w:rPr>
          <w:rFonts w:ascii="Times New Roman" w:hAnsi="Times New Roman" w:eastAsia="仿宋_GB2312"/>
          <w:sz w:val="22"/>
        </w:rPr>
        <w:t xml:space="preserve">  单位负责人签字：</w:t>
      </w:r>
    </w:p>
    <w:p>
      <w:pPr>
        <w:widowControl/>
        <w:spacing w:line="600" w:lineRule="exact"/>
        <w:jc w:val="center"/>
        <w:rPr>
          <w:rFonts w:ascii="Times New Roman" w:hAnsi="Times New Roman" w:eastAsia="方正小标宋_GBK"/>
          <w:color w:val="000000"/>
          <w:sz w:val="36"/>
          <w:szCs w:val="36"/>
        </w:rPr>
      </w:pPr>
    </w:p>
    <w:p>
      <w:pPr>
        <w:widowControl/>
        <w:spacing w:line="600" w:lineRule="exact"/>
        <w:jc w:val="center"/>
        <w:rPr>
          <w:rFonts w:ascii="Times New Roman" w:hAnsi="Times New Roman" w:eastAsia="方正小标宋_GBK"/>
          <w:color w:val="000000"/>
          <w:sz w:val="36"/>
          <w:szCs w:val="36"/>
        </w:rPr>
      </w:pPr>
    </w:p>
    <w:p>
      <w:pPr>
        <w:widowControl/>
        <w:spacing w:line="600" w:lineRule="exact"/>
        <w:jc w:val="center"/>
        <w:rPr>
          <w:rFonts w:ascii="Times New Roman" w:hAnsi="Times New Roman" w:eastAsia="方正小标宋_GBK"/>
          <w:color w:val="000000"/>
          <w:sz w:val="36"/>
          <w:szCs w:val="36"/>
        </w:rPr>
      </w:pPr>
    </w:p>
    <w:p>
      <w:pPr>
        <w:spacing w:line="600" w:lineRule="exact"/>
        <w:jc w:val="left"/>
        <w:rPr>
          <w:rFonts w:ascii="Times New Roman" w:hAnsi="Times New Roman" w:eastAsia="黑体"/>
          <w:sz w:val="32"/>
          <w:szCs w:val="32"/>
        </w:rPr>
      </w:pPr>
      <w:r>
        <w:rPr>
          <w:rFonts w:ascii="Times New Roman" w:hAnsi="Times New Roman" w:eastAsia="黑体"/>
          <w:sz w:val="32"/>
          <w:szCs w:val="32"/>
        </w:rPr>
        <w:t>附件5</w:t>
      </w:r>
    </w:p>
    <w:p>
      <w:pPr>
        <w:widowControl/>
        <w:spacing w:line="600" w:lineRule="exact"/>
        <w:jc w:val="center"/>
        <w:rPr>
          <w:rFonts w:ascii="Times New Roman" w:hAnsi="Times New Roman" w:eastAsia="方正小标宋_GBK"/>
          <w:color w:val="000000"/>
          <w:sz w:val="36"/>
          <w:szCs w:val="36"/>
        </w:rPr>
      </w:pPr>
      <w:r>
        <w:rPr>
          <w:rFonts w:ascii="Times New Roman" w:hAnsi="Times New Roman" w:eastAsia="方正小标宋_GBK"/>
          <w:color w:val="000000"/>
          <w:sz w:val="36"/>
          <w:szCs w:val="36"/>
        </w:rPr>
        <w:t>2021年度项目支出绩效自评表</w:t>
      </w:r>
    </w:p>
    <w:tbl>
      <w:tblPr>
        <w:tblStyle w:val="7"/>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项目支</w:t>
            </w:r>
          </w:p>
          <w:p>
            <w:pPr>
              <w:widowControl/>
              <w:spacing w:line="26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sz w:val="18"/>
                <w:szCs w:val="18"/>
              </w:rPr>
            </w:pPr>
            <w:r>
              <w:rPr>
                <w:rFonts w:hint="eastAsia" w:eastAsia="仿宋" w:cs="仿宋"/>
                <w:sz w:val="18"/>
                <w:szCs w:val="18"/>
              </w:rPr>
              <w:t>庆祝建党100周年活动资金</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ascii="Times New Roman" w:hAnsi="Times New Roman" w:eastAsia="仿宋_GB2312"/>
                <w:color w:val="000000"/>
                <w:sz w:val="18"/>
                <w:szCs w:val="18"/>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jc w:val="left"/>
              <w:rPr>
                <w:rFonts w:hint="eastAsia"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sz w:val="18"/>
                <w:szCs w:val="18"/>
              </w:rPr>
              <w:t>郴州市文化旅游广电体育局</w:t>
            </w:r>
          </w:p>
        </w:tc>
        <w:tc>
          <w:tcPr>
            <w:tcW w:w="1134" w:type="dxa"/>
            <w:tcBorders>
              <w:top w:val="single" w:color="auto" w:sz="4" w:space="0"/>
              <w:left w:val="nil"/>
              <w:bottom w:val="single" w:color="auto" w:sz="4" w:space="0"/>
              <w:right w:val="single" w:color="000000" w:sz="4" w:space="0"/>
            </w:tcBorders>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郴州市烈士公园（湘南起义纪念馆）</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Times New Roman" w:hAnsi="Times New Roman" w:eastAsia="仿宋_GB2312"/>
                <w:color w:val="000000"/>
                <w:sz w:val="18"/>
                <w:szCs w:val="18"/>
              </w:rPr>
            </w:pPr>
            <w:r>
              <w:rPr>
                <w:rFonts w:ascii="Times New Roman" w:hAnsi="Times New Roman" w:eastAsia="仿宋_GB2312"/>
                <w:color w:val="000000"/>
                <w:sz w:val="18"/>
                <w:szCs w:val="18"/>
              </w:rPr>
              <w:t>项目资金</w:t>
            </w:r>
          </w:p>
          <w:p>
            <w:pPr>
              <w:widowControl/>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（万元）</w:t>
            </w:r>
          </w:p>
        </w:tc>
        <w:tc>
          <w:tcPr>
            <w:tcW w:w="216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122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年初</w:t>
            </w:r>
          </w:p>
          <w:p>
            <w:pPr>
              <w:widowControl/>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预算数</w:t>
            </w:r>
          </w:p>
        </w:tc>
        <w:tc>
          <w:tcPr>
            <w:tcW w:w="113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全年</w:t>
            </w:r>
          </w:p>
          <w:p>
            <w:pPr>
              <w:widowControl/>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预算数</w:t>
            </w:r>
          </w:p>
        </w:tc>
        <w:tc>
          <w:tcPr>
            <w:tcW w:w="1134"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全年</w:t>
            </w:r>
          </w:p>
          <w:p>
            <w:pPr>
              <w:jc w:val="center"/>
              <w:rPr>
                <w:rFonts w:ascii="Times New Roman" w:hAnsi="Times New Roman" w:eastAsia="仿宋_GB2312"/>
                <w:sz w:val="18"/>
                <w:szCs w:val="18"/>
              </w:rPr>
            </w:pPr>
            <w:r>
              <w:rPr>
                <w:rFonts w:ascii="Times New Roman" w:hAnsi="Times New Roman" w:eastAsia="仿宋_GB2312"/>
                <w:sz w:val="18"/>
                <w:szCs w:val="18"/>
              </w:rPr>
              <w:t>执行数</w:t>
            </w:r>
          </w:p>
        </w:tc>
        <w:tc>
          <w:tcPr>
            <w:tcW w:w="828"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分值</w:t>
            </w:r>
          </w:p>
        </w:tc>
        <w:tc>
          <w:tcPr>
            <w:tcW w:w="873"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执行率</w:t>
            </w:r>
          </w:p>
        </w:tc>
        <w:tc>
          <w:tcPr>
            <w:tcW w:w="1418"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olor w:val="000000"/>
                <w:sz w:val="18"/>
                <w:szCs w:val="18"/>
              </w:rPr>
            </w:pPr>
          </w:p>
        </w:tc>
        <w:tc>
          <w:tcPr>
            <w:tcW w:w="216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ascii="Times New Roman" w:hAnsi="Times New Roman" w:eastAsia="仿宋_GB2312"/>
                <w:color w:val="000000"/>
                <w:sz w:val="18"/>
                <w:szCs w:val="18"/>
              </w:rPr>
              <w:t>年度资金总额　</w:t>
            </w:r>
          </w:p>
        </w:tc>
        <w:tc>
          <w:tcPr>
            <w:tcW w:w="1224"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0</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73.69</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73.69</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ascii="Times New Roman" w:hAnsi="Times New Roman" w:eastAsia="仿宋_GB2312"/>
                <w:color w:val="000000"/>
                <w:sz w:val="18"/>
                <w:szCs w:val="18"/>
              </w:rPr>
              <w:t>　10</w:t>
            </w:r>
          </w:p>
        </w:tc>
        <w:tc>
          <w:tcPr>
            <w:tcW w:w="87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100%</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olor w:val="000000"/>
                <w:sz w:val="18"/>
                <w:szCs w:val="18"/>
              </w:rPr>
            </w:pPr>
          </w:p>
        </w:tc>
        <w:tc>
          <w:tcPr>
            <w:tcW w:w="216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ascii="Times New Roman" w:hAnsi="Times New Roman" w:eastAsia="仿宋_GB2312"/>
                <w:color w:val="000000"/>
                <w:sz w:val="18"/>
                <w:szCs w:val="18"/>
              </w:rPr>
              <w:t>其中：当年财政拨款　</w:t>
            </w:r>
          </w:p>
        </w:tc>
        <w:tc>
          <w:tcPr>
            <w:tcW w:w="122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73.69</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73.69</w:t>
            </w:r>
            <w:r>
              <w:rPr>
                <w:rFonts w:ascii="Times New Roman" w:hAnsi="Times New Roman" w:eastAsia="仿宋_GB2312"/>
                <w:color w:val="000000"/>
                <w:sz w:val="18"/>
                <w:szCs w:val="18"/>
              </w:rPr>
              <w:t>　</w:t>
            </w:r>
          </w:p>
        </w:tc>
        <w:tc>
          <w:tcPr>
            <w:tcW w:w="828"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18"/>
                <w:szCs w:val="18"/>
              </w:rPr>
            </w:pPr>
          </w:p>
        </w:tc>
        <w:tc>
          <w:tcPr>
            <w:tcW w:w="87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sz w:val="18"/>
                <w:szCs w:val="18"/>
              </w:rPr>
            </w:pP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olor w:val="000000"/>
                <w:sz w:val="18"/>
                <w:szCs w:val="18"/>
              </w:rPr>
            </w:pPr>
          </w:p>
        </w:tc>
        <w:tc>
          <w:tcPr>
            <w:tcW w:w="2160" w:type="dxa"/>
            <w:gridSpan w:val="2"/>
            <w:tcBorders>
              <w:top w:val="nil"/>
              <w:left w:val="nil"/>
              <w:bottom w:val="single" w:color="auto" w:sz="4" w:space="0"/>
              <w:right w:val="single" w:color="auto" w:sz="4" w:space="0"/>
            </w:tcBorders>
            <w:noWrap w:val="0"/>
            <w:vAlign w:val="center"/>
          </w:tcPr>
          <w:p>
            <w:pPr>
              <w:widowControl/>
              <w:ind w:firstLine="540" w:firstLineChars="300"/>
              <w:jc w:val="left"/>
              <w:rPr>
                <w:rFonts w:ascii="Times New Roman" w:hAnsi="Times New Roman" w:eastAsia="仿宋_GB2312"/>
                <w:color w:val="000000"/>
                <w:sz w:val="18"/>
                <w:szCs w:val="18"/>
              </w:rPr>
            </w:pPr>
            <w:r>
              <w:rPr>
                <w:rFonts w:ascii="Times New Roman" w:hAnsi="Times New Roman" w:eastAsia="仿宋_GB2312"/>
                <w:color w:val="000000"/>
                <w:sz w:val="18"/>
                <w:szCs w:val="18"/>
              </w:rPr>
              <w:t>上年结转资金　</w:t>
            </w:r>
          </w:p>
        </w:tc>
        <w:tc>
          <w:tcPr>
            <w:tcW w:w="122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olor w:val="000000"/>
                <w:sz w:val="18"/>
                <w:szCs w:val="18"/>
              </w:rPr>
            </w:pPr>
          </w:p>
        </w:tc>
        <w:tc>
          <w:tcPr>
            <w:tcW w:w="2160" w:type="dxa"/>
            <w:gridSpan w:val="2"/>
            <w:tcBorders>
              <w:top w:val="nil"/>
              <w:left w:val="nil"/>
              <w:bottom w:val="single" w:color="auto" w:sz="4" w:space="0"/>
              <w:right w:val="single" w:color="auto" w:sz="4" w:space="0"/>
            </w:tcBorders>
            <w:noWrap w:val="0"/>
            <w:vAlign w:val="center"/>
          </w:tcPr>
          <w:p>
            <w:pPr>
              <w:widowControl/>
              <w:ind w:firstLine="540" w:firstLineChars="300"/>
              <w:jc w:val="left"/>
              <w:rPr>
                <w:rFonts w:ascii="Times New Roman" w:hAnsi="Times New Roman" w:eastAsia="仿宋_GB2312"/>
                <w:color w:val="000000"/>
                <w:sz w:val="18"/>
                <w:szCs w:val="18"/>
              </w:rPr>
            </w:pPr>
            <w:r>
              <w:rPr>
                <w:rFonts w:ascii="Times New Roman" w:hAnsi="Times New Roman" w:eastAsia="仿宋_GB2312"/>
                <w:color w:val="000000"/>
                <w:sz w:val="18"/>
                <w:szCs w:val="18"/>
              </w:rPr>
              <w:t>其他资金</w:t>
            </w:r>
          </w:p>
        </w:tc>
        <w:tc>
          <w:tcPr>
            <w:tcW w:w="122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olor w:val="000000"/>
                <w:sz w:val="18"/>
                <w:szCs w:val="18"/>
              </w:rPr>
            </w:pPr>
          </w:p>
        </w:tc>
        <w:tc>
          <w:tcPr>
            <w:tcW w:w="4518"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举行建党100周年大型活动</w:t>
            </w:r>
          </w:p>
        </w:tc>
        <w:tc>
          <w:tcPr>
            <w:tcW w:w="4253"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 xml:space="preserve"> 成功举办建党100周年大型活动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widowControl/>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绩</w:t>
            </w:r>
          </w:p>
          <w:p>
            <w:pPr>
              <w:widowControl/>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效</w:t>
            </w:r>
          </w:p>
          <w:p>
            <w:pPr>
              <w:widowControl/>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指</w:t>
            </w:r>
          </w:p>
          <w:p>
            <w:pPr>
              <w:widowControl/>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标</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一级指标</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二级指标</w:t>
            </w:r>
          </w:p>
        </w:tc>
        <w:tc>
          <w:tcPr>
            <w:tcW w:w="1224"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三级指标</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年度</w:t>
            </w:r>
          </w:p>
          <w:p>
            <w:pPr>
              <w:widowControl/>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指标值</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实际</w:t>
            </w:r>
          </w:p>
          <w:p>
            <w:pPr>
              <w:widowControl/>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完成值</w:t>
            </w:r>
          </w:p>
        </w:tc>
        <w:tc>
          <w:tcPr>
            <w:tcW w:w="828"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分值</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得分</w:t>
            </w:r>
          </w:p>
        </w:tc>
        <w:tc>
          <w:tcPr>
            <w:tcW w:w="1418"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偏差原因</w:t>
            </w:r>
          </w:p>
          <w:p>
            <w:pPr>
              <w:widowControl/>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分析及</w:t>
            </w:r>
          </w:p>
          <w:p>
            <w:pPr>
              <w:widowControl/>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olor w:val="000000"/>
                <w:sz w:val="18"/>
                <w:szCs w:val="18"/>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产出指标</w:t>
            </w:r>
          </w:p>
          <w:p>
            <w:pPr>
              <w:widowControl/>
              <w:jc w:val="center"/>
              <w:rPr>
                <w:rFonts w:ascii="Times New Roman" w:hAnsi="Times New Roman" w:eastAsia="仿宋_GB2312"/>
                <w:color w:val="000000"/>
                <w:sz w:val="18"/>
                <w:szCs w:val="18"/>
              </w:rPr>
            </w:pPr>
          </w:p>
          <w:p>
            <w:pPr>
              <w:widowControl/>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(50分)</w:t>
            </w:r>
          </w:p>
        </w:tc>
        <w:tc>
          <w:tcPr>
            <w:tcW w:w="1080" w:type="dxa"/>
            <w:vMerge w:val="restart"/>
            <w:tcBorders>
              <w:top w:val="nil"/>
              <w:left w:val="nil"/>
              <w:right w:val="single" w:color="auto" w:sz="4" w:space="0"/>
            </w:tcBorders>
            <w:noWrap w:val="0"/>
            <w:vAlign w:val="center"/>
          </w:tcPr>
          <w:p>
            <w:pPr>
              <w:widowControl/>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数量指标</w:t>
            </w:r>
          </w:p>
        </w:tc>
        <w:tc>
          <w:tcPr>
            <w:tcW w:w="122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举办有关建党100周年大型陈展及演出活动</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7次</w:t>
            </w:r>
            <w:r>
              <w:rPr>
                <w:rFonts w:ascii="Times New Roman" w:hAnsi="Times New Roman" w:eastAsia="仿宋_GB2312"/>
                <w:color w:val="000000"/>
                <w:sz w:val="18"/>
                <w:szCs w:val="18"/>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7次</w:t>
            </w:r>
            <w:r>
              <w:rPr>
                <w:rFonts w:ascii="Times New Roman" w:hAnsi="Times New Roman" w:eastAsia="仿宋_GB2312"/>
                <w:color w:val="000000"/>
                <w:sz w:val="18"/>
                <w:szCs w:val="18"/>
              </w:rPr>
              <w:t>　</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5</w:t>
            </w:r>
            <w:r>
              <w:rPr>
                <w:rFonts w:ascii="Times New Roman" w:hAnsi="Times New Roman" w:eastAsia="仿宋_GB2312"/>
                <w:color w:val="000000"/>
                <w:sz w:val="18"/>
                <w:szCs w:val="18"/>
              </w:rPr>
              <w:t>　</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5</w:t>
            </w:r>
            <w:r>
              <w:rPr>
                <w:rFonts w:ascii="Times New Roman" w:hAnsi="Times New Roman" w:eastAsia="仿宋_GB2312"/>
                <w:color w:val="000000"/>
                <w:sz w:val="18"/>
                <w:szCs w:val="18"/>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olor w:val="000000"/>
                <w:sz w:val="18"/>
                <w:szCs w:val="18"/>
              </w:rPr>
            </w:pPr>
          </w:p>
        </w:tc>
        <w:tc>
          <w:tcPr>
            <w:tcW w:w="1080" w:type="dxa"/>
            <w:vMerge w:val="continue"/>
            <w:tcBorders>
              <w:left w:val="single" w:color="auto" w:sz="4" w:space="0"/>
              <w:right w:val="single" w:color="auto" w:sz="4" w:space="0"/>
            </w:tcBorders>
            <w:noWrap w:val="0"/>
            <w:vAlign w:val="center"/>
          </w:tcPr>
          <w:p>
            <w:pPr>
              <w:widowControl/>
              <w:jc w:val="center"/>
              <w:rPr>
                <w:rFonts w:ascii="Times New Roman" w:hAnsi="Times New Roman" w:eastAsia="仿宋_GB2312"/>
                <w:color w:val="000000"/>
                <w:sz w:val="18"/>
                <w:szCs w:val="18"/>
              </w:rPr>
            </w:pPr>
          </w:p>
        </w:tc>
        <w:tc>
          <w:tcPr>
            <w:tcW w:w="1080" w:type="dxa"/>
            <w:vMerge w:val="continue"/>
            <w:tcBorders>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sz w:val="18"/>
                <w:szCs w:val="18"/>
              </w:rPr>
            </w:pPr>
          </w:p>
        </w:tc>
        <w:tc>
          <w:tcPr>
            <w:tcW w:w="1224"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建党百年文物征集</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40件</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40余件</w:t>
            </w:r>
          </w:p>
        </w:tc>
        <w:tc>
          <w:tcPr>
            <w:tcW w:w="828"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5</w:t>
            </w:r>
          </w:p>
        </w:tc>
        <w:tc>
          <w:tcPr>
            <w:tcW w:w="873"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5</w:t>
            </w: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因疫情影响导致征集工作滞后</w:t>
            </w:r>
          </w:p>
        </w:tc>
      </w:tr>
      <w:tr>
        <w:tblPrEx>
          <w:tblCellMar>
            <w:top w:w="0" w:type="dxa"/>
            <w:left w:w="108" w:type="dxa"/>
            <w:bottom w:w="0" w:type="dxa"/>
            <w:right w:w="108" w:type="dxa"/>
          </w:tblCellMar>
        </w:tblPrEx>
        <w:trPr>
          <w:trHeight w:val="90" w:hRule="atLeast"/>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olor w:val="000000"/>
                <w:sz w:val="18"/>
                <w:szCs w:val="18"/>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000000"/>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质量指标</w:t>
            </w:r>
          </w:p>
        </w:tc>
        <w:tc>
          <w:tcPr>
            <w:tcW w:w="1224"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保障活动正常进行</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有效保障</w:t>
            </w:r>
            <w:r>
              <w:rPr>
                <w:rFonts w:ascii="Times New Roman" w:hAnsi="Times New Roman" w:eastAsia="仿宋_GB2312"/>
                <w:color w:val="000000"/>
                <w:sz w:val="18"/>
                <w:szCs w:val="18"/>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有效保障</w:t>
            </w:r>
            <w:r>
              <w:rPr>
                <w:rFonts w:ascii="Times New Roman" w:hAnsi="Times New Roman" w:eastAsia="仿宋_GB2312"/>
                <w:color w:val="000000"/>
                <w:sz w:val="18"/>
                <w:szCs w:val="18"/>
              </w:rPr>
              <w:t>　</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10</w:t>
            </w:r>
            <w:r>
              <w:rPr>
                <w:rFonts w:ascii="Times New Roman" w:hAnsi="Times New Roman" w:eastAsia="仿宋_GB2312"/>
                <w:color w:val="000000"/>
                <w:sz w:val="18"/>
                <w:szCs w:val="18"/>
              </w:rPr>
              <w:t>　</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10</w:t>
            </w:r>
            <w:r>
              <w:rPr>
                <w:rFonts w:ascii="Times New Roman" w:hAnsi="Times New Roman" w:eastAsia="仿宋_GB2312"/>
                <w:color w:val="000000"/>
                <w:sz w:val="18"/>
                <w:szCs w:val="18"/>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olor w:val="000000"/>
                <w:sz w:val="18"/>
                <w:szCs w:val="18"/>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000000"/>
                <w:sz w:val="18"/>
                <w:szCs w:val="18"/>
              </w:rPr>
            </w:pPr>
          </w:p>
        </w:tc>
        <w:tc>
          <w:tcPr>
            <w:tcW w:w="1080" w:type="dxa"/>
            <w:vMerge w:val="restart"/>
            <w:tcBorders>
              <w:top w:val="single" w:color="auto" w:sz="4" w:space="0"/>
              <w:left w:val="single" w:color="auto" w:sz="4" w:space="0"/>
              <w:right w:val="single" w:color="auto" w:sz="4" w:space="0"/>
            </w:tcBorders>
            <w:noWrap w:val="0"/>
            <w:vAlign w:val="center"/>
          </w:tcPr>
          <w:p>
            <w:pPr>
              <w:widowControl/>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时效指标</w:t>
            </w:r>
          </w:p>
        </w:tc>
        <w:tc>
          <w:tcPr>
            <w:tcW w:w="1224"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color w:val="000000"/>
                <w:sz w:val="18"/>
                <w:szCs w:val="18"/>
              </w:rPr>
            </w:pPr>
            <w:r>
              <w:rPr>
                <w:rFonts w:hint="eastAsia" w:ascii="Times New Roman" w:hAnsi="Times New Roman" w:eastAsia="仿宋_GB2312"/>
                <w:color w:val="000000"/>
                <w:sz w:val="18"/>
                <w:szCs w:val="18"/>
              </w:rPr>
              <w:t>举办建党100周年大型陈展及演出活动及时率</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2021年12月前</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2021年12月前</w:t>
            </w:r>
            <w:r>
              <w:rPr>
                <w:rFonts w:ascii="Times New Roman" w:hAnsi="Times New Roman" w:eastAsia="仿宋_GB2312"/>
                <w:color w:val="000000"/>
                <w:sz w:val="18"/>
                <w:szCs w:val="18"/>
              </w:rPr>
              <w:t>　</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5</w:t>
            </w:r>
            <w:r>
              <w:rPr>
                <w:rFonts w:ascii="Times New Roman" w:hAnsi="Times New Roman" w:eastAsia="仿宋_GB2312"/>
                <w:color w:val="000000"/>
                <w:sz w:val="18"/>
                <w:szCs w:val="18"/>
              </w:rPr>
              <w:t>　</w:t>
            </w:r>
          </w:p>
        </w:tc>
        <w:tc>
          <w:tcPr>
            <w:tcW w:w="873"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5</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olor w:val="000000"/>
                <w:sz w:val="18"/>
                <w:szCs w:val="18"/>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000000"/>
                <w:sz w:val="18"/>
                <w:szCs w:val="18"/>
              </w:rPr>
            </w:pPr>
          </w:p>
        </w:tc>
        <w:tc>
          <w:tcPr>
            <w:tcW w:w="1080" w:type="dxa"/>
            <w:vMerge w:val="continue"/>
            <w:tcBorders>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sz w:val="18"/>
                <w:szCs w:val="18"/>
              </w:rPr>
            </w:pPr>
          </w:p>
        </w:tc>
        <w:tc>
          <w:tcPr>
            <w:tcW w:w="1224"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建党百年文物征集</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2021年12月前</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2021年12月前</w:t>
            </w:r>
          </w:p>
        </w:tc>
        <w:tc>
          <w:tcPr>
            <w:tcW w:w="828"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5</w:t>
            </w:r>
          </w:p>
        </w:tc>
        <w:tc>
          <w:tcPr>
            <w:tcW w:w="873"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3</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因疫情影响导致征集工作滞后</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olor w:val="000000"/>
                <w:sz w:val="18"/>
                <w:szCs w:val="18"/>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成本指标</w:t>
            </w:r>
          </w:p>
        </w:tc>
        <w:tc>
          <w:tcPr>
            <w:tcW w:w="1224"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预算控制成本情况</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73.69万元</w:t>
            </w:r>
            <w:r>
              <w:rPr>
                <w:rFonts w:ascii="Times New Roman" w:hAnsi="Times New Roman" w:eastAsia="仿宋_GB2312"/>
                <w:color w:val="000000"/>
                <w:sz w:val="18"/>
                <w:szCs w:val="18"/>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73.69万元</w:t>
            </w:r>
            <w:r>
              <w:rPr>
                <w:rFonts w:ascii="Times New Roman" w:hAnsi="Times New Roman" w:eastAsia="仿宋_GB2312"/>
                <w:color w:val="000000"/>
                <w:sz w:val="18"/>
                <w:szCs w:val="18"/>
              </w:rPr>
              <w:t>　</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20</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20</w:t>
            </w:r>
            <w:r>
              <w:rPr>
                <w:rFonts w:ascii="Times New Roman" w:hAnsi="Times New Roman" w:eastAsia="仿宋_GB2312"/>
                <w:color w:val="000000"/>
                <w:sz w:val="18"/>
                <w:szCs w:val="18"/>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olor w:val="000000"/>
                <w:sz w:val="18"/>
                <w:szCs w:val="18"/>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ascii="Times New Roman" w:hAnsi="Times New Roman" w:eastAsia="仿宋_GB2312"/>
                <w:color w:val="000000"/>
                <w:sz w:val="18"/>
                <w:szCs w:val="18"/>
              </w:rPr>
              <w:t>效益指标</w:t>
            </w:r>
          </w:p>
          <w:p>
            <w:pPr>
              <w:widowControl/>
              <w:jc w:val="left"/>
              <w:rPr>
                <w:rFonts w:ascii="Times New Roman" w:hAnsi="Times New Roman" w:eastAsia="仿宋_GB2312"/>
                <w:color w:val="000000"/>
                <w:sz w:val="18"/>
                <w:szCs w:val="18"/>
              </w:rPr>
            </w:pPr>
          </w:p>
          <w:p>
            <w:pPr>
              <w:widowControl/>
              <w:jc w:val="left"/>
              <w:rPr>
                <w:rFonts w:ascii="Times New Roman" w:hAnsi="Times New Roman" w:eastAsia="仿宋_GB2312"/>
                <w:color w:val="000000"/>
                <w:sz w:val="18"/>
                <w:szCs w:val="18"/>
              </w:rPr>
            </w:pPr>
            <w:r>
              <w:rPr>
                <w:rFonts w:ascii="Times New Roman" w:hAnsi="Times New Roman" w:eastAsia="仿宋_GB2312"/>
                <w:color w:val="000000"/>
                <w:sz w:val="18"/>
                <w:szCs w:val="18"/>
              </w:rPr>
              <w:t>（30分）</w:t>
            </w:r>
          </w:p>
          <w:p>
            <w:pPr>
              <w:widowControl/>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经济效</w:t>
            </w:r>
          </w:p>
          <w:p>
            <w:pPr>
              <w:widowControl/>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益指标</w:t>
            </w:r>
          </w:p>
        </w:tc>
        <w:tc>
          <w:tcPr>
            <w:tcW w:w="1224"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不适用</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w:t>
            </w:r>
            <w:r>
              <w:rPr>
                <w:rFonts w:ascii="Times New Roman" w:hAnsi="Times New Roman" w:eastAsia="仿宋_GB2312"/>
                <w:color w:val="000000"/>
                <w:sz w:val="18"/>
                <w:szCs w:val="18"/>
              </w:rPr>
              <w:t>　</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w:t>
            </w:r>
            <w:r>
              <w:rPr>
                <w:rFonts w:ascii="Times New Roman" w:hAnsi="Times New Roman" w:eastAsia="仿宋_GB2312"/>
                <w:color w:val="000000"/>
                <w:sz w:val="18"/>
                <w:szCs w:val="18"/>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olor w:val="000000"/>
                <w:sz w:val="18"/>
                <w:szCs w:val="18"/>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000000"/>
                <w:sz w:val="18"/>
                <w:szCs w:val="18"/>
              </w:rPr>
            </w:pPr>
          </w:p>
        </w:tc>
        <w:tc>
          <w:tcPr>
            <w:tcW w:w="1080" w:type="dxa"/>
            <w:vMerge w:val="restart"/>
            <w:tcBorders>
              <w:top w:val="single" w:color="auto" w:sz="4" w:space="0"/>
              <w:left w:val="nil"/>
              <w:right w:val="single" w:color="auto" w:sz="4" w:space="0"/>
            </w:tcBorders>
            <w:noWrap w:val="0"/>
            <w:vAlign w:val="center"/>
          </w:tcPr>
          <w:p>
            <w:pPr>
              <w:widowControl/>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社会效</w:t>
            </w:r>
          </w:p>
          <w:p>
            <w:pPr>
              <w:widowControl/>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益指标</w:t>
            </w:r>
          </w:p>
        </w:tc>
        <w:tc>
          <w:tcPr>
            <w:tcW w:w="1224"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提升市民了解红色文化情况</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提升</w:t>
            </w:r>
            <w:r>
              <w:rPr>
                <w:rFonts w:ascii="Times New Roman" w:hAnsi="Times New Roman" w:eastAsia="仿宋_GB2312"/>
                <w:color w:val="000000"/>
                <w:sz w:val="18"/>
                <w:szCs w:val="18"/>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有效提升</w:t>
            </w:r>
            <w:r>
              <w:rPr>
                <w:rFonts w:ascii="Times New Roman" w:hAnsi="Times New Roman" w:eastAsia="仿宋_GB2312"/>
                <w:color w:val="000000"/>
                <w:sz w:val="18"/>
                <w:szCs w:val="18"/>
              </w:rPr>
              <w:t>　</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10</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10</w:t>
            </w: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
                <w:color w:val="000000"/>
                <w:sz w:val="18"/>
                <w:szCs w:val="18"/>
              </w:rPr>
            </w:pPr>
            <w:r>
              <w:rPr>
                <w:rFonts w:ascii="Times New Roman" w:hAnsi="Times New Roman" w:eastAsia="仿宋_GB2312"/>
                <w:color w:val="000000"/>
                <w:sz w:val="18"/>
                <w:szCs w:val="18"/>
              </w:rPr>
              <w:t>　</w:t>
            </w:r>
            <w:r>
              <w:rPr>
                <w:rFonts w:hint="eastAsia" w:eastAsia="仿宋" w:cs="仿宋"/>
                <w:sz w:val="16"/>
                <w:szCs w:val="16"/>
              </w:rPr>
              <w:t>不断在提升，有待进一步提升</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olor w:val="000000"/>
                <w:sz w:val="18"/>
                <w:szCs w:val="18"/>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000000"/>
                <w:sz w:val="18"/>
                <w:szCs w:val="18"/>
              </w:rPr>
            </w:pPr>
          </w:p>
        </w:tc>
        <w:tc>
          <w:tcPr>
            <w:tcW w:w="1080" w:type="dxa"/>
            <w:vMerge w:val="continue"/>
            <w:tcBorders>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sz w:val="18"/>
                <w:szCs w:val="18"/>
              </w:rPr>
            </w:pPr>
          </w:p>
        </w:tc>
        <w:tc>
          <w:tcPr>
            <w:tcW w:w="1224"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提高文物藏品量</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提高</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有效提高</w:t>
            </w:r>
          </w:p>
        </w:tc>
        <w:tc>
          <w:tcPr>
            <w:tcW w:w="828"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10</w:t>
            </w:r>
          </w:p>
        </w:tc>
        <w:tc>
          <w:tcPr>
            <w:tcW w:w="873"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10</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olor w:val="000000"/>
                <w:sz w:val="18"/>
                <w:szCs w:val="18"/>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生态效</w:t>
            </w:r>
          </w:p>
          <w:p>
            <w:pPr>
              <w:widowControl/>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益指标</w:t>
            </w:r>
          </w:p>
        </w:tc>
        <w:tc>
          <w:tcPr>
            <w:tcW w:w="1224"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不适用</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w:t>
            </w:r>
          </w:p>
        </w:tc>
        <w:tc>
          <w:tcPr>
            <w:tcW w:w="828"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w:t>
            </w:r>
            <w:r>
              <w:rPr>
                <w:rFonts w:ascii="Times New Roman" w:hAnsi="Times New Roman" w:eastAsia="仿宋_GB2312"/>
                <w:color w:val="000000"/>
                <w:sz w:val="18"/>
                <w:szCs w:val="18"/>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jc w:val="center"/>
              <w:rPr>
                <w:rFonts w:ascii="Times New Roman" w:hAnsi="Times New Roman" w:eastAsia="仿宋_GB2312"/>
                <w:color w:val="000000"/>
                <w:sz w:val="18"/>
                <w:szCs w:val="18"/>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lang w:val="zh-CN"/>
              </w:rPr>
              <w:t>展示中国共产党从诞生到发展壮大的光辉历程和宝贵经验</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有效展示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展示</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满意度</w:t>
            </w:r>
          </w:p>
          <w:p>
            <w:pPr>
              <w:widowControl/>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指标</w:t>
            </w:r>
          </w:p>
          <w:p>
            <w:pPr>
              <w:widowControl/>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（10分）</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服务对象满意度指标</w:t>
            </w:r>
          </w:p>
        </w:tc>
        <w:tc>
          <w:tcPr>
            <w:tcW w:w="122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ascii="Times New Roman" w:hAnsi="Times New Roman" w:eastAsia="仿宋_GB2312"/>
                <w:color w:val="000000"/>
                <w:sz w:val="18"/>
                <w:szCs w:val="18"/>
                <w:lang w:val="zh-CN"/>
              </w:rPr>
              <w:t>群众满意度</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98%</w:t>
            </w:r>
            <w:r>
              <w:rPr>
                <w:rFonts w:ascii="Times New Roman" w:hAnsi="Times New Roman" w:eastAsia="仿宋_GB2312"/>
                <w:color w:val="000000"/>
                <w:sz w:val="18"/>
                <w:szCs w:val="18"/>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95%</w:t>
            </w:r>
            <w:r>
              <w:rPr>
                <w:rFonts w:ascii="Times New Roman" w:hAnsi="Times New Roman" w:eastAsia="仿宋_GB2312"/>
                <w:color w:val="000000"/>
                <w:sz w:val="18"/>
                <w:szCs w:val="18"/>
              </w:rPr>
              <w:t>　</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10</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8</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eastAsia="仿宋" w:cs="仿宋"/>
                <w:sz w:val="16"/>
                <w:szCs w:val="16"/>
              </w:rPr>
              <w:t>不断在改善，还是有很多方面需要不断提高</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总分</w:t>
            </w:r>
          </w:p>
        </w:tc>
        <w:tc>
          <w:tcPr>
            <w:tcW w:w="82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100</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95</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bl>
    <w:p>
      <w:pPr>
        <w:jc w:val="left"/>
        <w:rPr>
          <w:rFonts w:ascii="Times New Roman" w:hAnsi="Times New Roman" w:eastAsia="仿宋_GB2312"/>
          <w:sz w:val="18"/>
          <w:szCs w:val="18"/>
        </w:rPr>
      </w:pPr>
      <w:r>
        <w:rPr>
          <w:rFonts w:ascii="Times New Roman" w:hAnsi="Times New Roman" w:eastAsia="仿宋_GB2312"/>
          <w:sz w:val="18"/>
          <w:szCs w:val="18"/>
        </w:rPr>
        <w:t>备注：</w:t>
      </w:r>
      <w:r>
        <w:rPr>
          <w:rFonts w:hint="eastAsia" w:ascii="Times New Roman" w:hAnsi="Times New Roman" w:eastAsia="仿宋_GB2312"/>
          <w:sz w:val="18"/>
          <w:szCs w:val="18"/>
        </w:rPr>
        <w:t>每个</w:t>
      </w:r>
      <w:r>
        <w:rPr>
          <w:rFonts w:ascii="Times New Roman" w:hAnsi="Times New Roman" w:eastAsia="仿宋_GB2312"/>
          <w:sz w:val="18"/>
          <w:szCs w:val="18"/>
        </w:rPr>
        <w:t>项目支出</w:t>
      </w:r>
      <w:r>
        <w:rPr>
          <w:rFonts w:hint="eastAsia" w:ascii="Times New Roman" w:hAnsi="Times New Roman" w:eastAsia="仿宋_GB2312"/>
          <w:sz w:val="18"/>
          <w:szCs w:val="18"/>
        </w:rPr>
        <w:t>分别填报自评报告和自评</w:t>
      </w:r>
      <w:r>
        <w:rPr>
          <w:rFonts w:ascii="Times New Roman" w:hAnsi="Times New Roman" w:eastAsia="仿宋_GB2312"/>
          <w:sz w:val="18"/>
          <w:szCs w:val="18"/>
        </w:rPr>
        <w:t>表。</w:t>
      </w:r>
    </w:p>
    <w:p>
      <w:pPr>
        <w:pStyle w:val="2"/>
        <w:rPr>
          <w:rFonts w:ascii="Times New Roman" w:hAnsi="Times New Roman" w:eastAsia="仿宋_GB2312"/>
          <w:sz w:val="22"/>
        </w:rPr>
      </w:pPr>
    </w:p>
    <w:p>
      <w:pPr>
        <w:pStyle w:val="2"/>
        <w:rPr>
          <w:rFonts w:ascii="Times New Roman" w:hAnsi="Times New Roman" w:eastAsia="黑体"/>
          <w:color w:val="000000"/>
          <w:sz w:val="32"/>
          <w:szCs w:val="32"/>
        </w:rPr>
      </w:pPr>
      <w:r>
        <w:rPr>
          <w:rFonts w:ascii="Times New Roman" w:hAnsi="Times New Roman" w:eastAsia="仿宋_GB2312"/>
          <w:sz w:val="22"/>
        </w:rPr>
        <w:t>填表人：</w:t>
      </w:r>
      <w:r>
        <w:rPr>
          <w:rFonts w:hint="eastAsia" w:ascii="Times New Roman" w:hAnsi="Times New Roman" w:eastAsia="仿宋_GB2312"/>
          <w:sz w:val="22"/>
        </w:rPr>
        <w:t>刘青</w:t>
      </w:r>
      <w:r>
        <w:rPr>
          <w:rFonts w:ascii="Times New Roman" w:hAnsi="Times New Roman" w:eastAsia="仿宋_GB2312"/>
          <w:sz w:val="22"/>
        </w:rPr>
        <w:t xml:space="preserve">  填报日期：</w:t>
      </w:r>
      <w:r>
        <w:rPr>
          <w:rFonts w:hint="eastAsia" w:ascii="Times New Roman" w:hAnsi="Times New Roman" w:eastAsia="仿宋_GB2312"/>
          <w:sz w:val="22"/>
        </w:rPr>
        <w:t>2022年4月16日</w:t>
      </w:r>
      <w:r>
        <w:rPr>
          <w:rFonts w:ascii="Times New Roman" w:hAnsi="Times New Roman" w:eastAsia="仿宋_GB2312"/>
          <w:sz w:val="22"/>
        </w:rPr>
        <w:t xml:space="preserve"> 联系电话： </w:t>
      </w:r>
      <w:r>
        <w:rPr>
          <w:rFonts w:hint="eastAsia" w:ascii="Times New Roman" w:hAnsi="Times New Roman" w:eastAsia="仿宋_GB2312"/>
          <w:sz w:val="22"/>
        </w:rPr>
        <w:t>13873563276</w:t>
      </w:r>
      <w:r>
        <w:rPr>
          <w:rFonts w:ascii="Times New Roman" w:hAnsi="Times New Roman" w:eastAsia="仿宋_GB2312"/>
          <w:sz w:val="22"/>
        </w:rPr>
        <w:t xml:space="preserve">  单位负责人签字：</w:t>
      </w:r>
    </w:p>
    <w:p>
      <w:pPr>
        <w:spacing w:line="600" w:lineRule="exact"/>
        <w:jc w:val="left"/>
        <w:rPr>
          <w:rFonts w:ascii="Times New Roman" w:hAnsi="Times New Roman" w:eastAsia="黑体"/>
          <w:color w:val="000000"/>
          <w:sz w:val="32"/>
          <w:szCs w:val="32"/>
        </w:rPr>
      </w:pPr>
    </w:p>
    <w:p>
      <w:pPr>
        <w:spacing w:line="600" w:lineRule="exact"/>
        <w:jc w:val="left"/>
        <w:rPr>
          <w:rFonts w:ascii="Times New Roman" w:hAnsi="Times New Roman" w:eastAsia="黑体"/>
          <w:color w:val="000000"/>
          <w:sz w:val="32"/>
          <w:szCs w:val="32"/>
        </w:rPr>
      </w:pPr>
    </w:p>
    <w:p>
      <w:pPr>
        <w:spacing w:line="600" w:lineRule="exact"/>
        <w:jc w:val="left"/>
        <w:rPr>
          <w:rFonts w:ascii="Times New Roman" w:hAnsi="Times New Roman" w:eastAsia="黑体"/>
          <w:color w:val="000000"/>
          <w:sz w:val="32"/>
          <w:szCs w:val="32"/>
        </w:rPr>
      </w:pPr>
    </w:p>
    <w:p>
      <w:pPr>
        <w:spacing w:line="600" w:lineRule="exact"/>
        <w:jc w:val="left"/>
        <w:rPr>
          <w:rFonts w:ascii="Times New Roman" w:hAnsi="Times New Roman" w:eastAsia="黑体"/>
          <w:color w:val="000000"/>
          <w:sz w:val="32"/>
          <w:szCs w:val="32"/>
        </w:rPr>
      </w:pPr>
    </w:p>
    <w:p>
      <w:pPr>
        <w:spacing w:line="600" w:lineRule="exact"/>
        <w:jc w:val="left"/>
        <w:rPr>
          <w:rFonts w:ascii="Times New Roman" w:hAnsi="Times New Roman" w:eastAsia="黑体"/>
          <w:color w:val="000000"/>
          <w:sz w:val="32"/>
          <w:szCs w:val="32"/>
        </w:rPr>
      </w:pPr>
    </w:p>
    <w:p>
      <w:pPr>
        <w:spacing w:line="600" w:lineRule="exact"/>
        <w:jc w:val="left"/>
        <w:rPr>
          <w:rFonts w:ascii="Times New Roman" w:hAnsi="Times New Roman" w:eastAsia="黑体"/>
          <w:color w:val="000000"/>
          <w:sz w:val="32"/>
          <w:szCs w:val="32"/>
        </w:rPr>
      </w:pPr>
    </w:p>
    <w:p>
      <w:pPr>
        <w:spacing w:line="600" w:lineRule="exact"/>
        <w:jc w:val="left"/>
        <w:rPr>
          <w:rFonts w:ascii="Times New Roman" w:hAnsi="Times New Roman" w:eastAsia="黑体"/>
          <w:color w:val="000000"/>
          <w:sz w:val="32"/>
          <w:szCs w:val="32"/>
        </w:rPr>
      </w:pPr>
    </w:p>
    <w:p>
      <w:pPr>
        <w:spacing w:line="600" w:lineRule="exact"/>
        <w:jc w:val="left"/>
        <w:rPr>
          <w:rFonts w:ascii="Times New Roman" w:hAnsi="Times New Roman" w:eastAsia="黑体"/>
          <w:color w:val="000000"/>
          <w:sz w:val="32"/>
          <w:szCs w:val="32"/>
        </w:rPr>
      </w:pPr>
    </w:p>
    <w:p>
      <w:pPr>
        <w:spacing w:line="600" w:lineRule="exact"/>
        <w:jc w:val="left"/>
        <w:rPr>
          <w:rFonts w:ascii="Times New Roman" w:hAnsi="Times New Roman" w:eastAsia="黑体"/>
          <w:color w:val="000000"/>
          <w:sz w:val="32"/>
          <w:szCs w:val="32"/>
        </w:rPr>
      </w:pPr>
    </w:p>
    <w:p>
      <w:pPr>
        <w:spacing w:line="600" w:lineRule="exact"/>
        <w:jc w:val="left"/>
        <w:rPr>
          <w:rFonts w:ascii="Times New Roman" w:hAnsi="Times New Roman" w:eastAsia="黑体"/>
          <w:color w:val="000000"/>
          <w:sz w:val="32"/>
          <w:szCs w:val="32"/>
        </w:rPr>
      </w:pPr>
    </w:p>
    <w:p>
      <w:pPr>
        <w:spacing w:line="600" w:lineRule="exact"/>
        <w:jc w:val="left"/>
        <w:rPr>
          <w:rFonts w:ascii="Times New Roman" w:hAnsi="Times New Roman" w:eastAsia="黑体"/>
          <w:color w:val="000000"/>
          <w:sz w:val="32"/>
          <w:szCs w:val="32"/>
        </w:rPr>
      </w:pPr>
    </w:p>
    <w:p>
      <w:pPr>
        <w:spacing w:line="600" w:lineRule="exact"/>
        <w:jc w:val="left"/>
        <w:rPr>
          <w:rFonts w:ascii="Times New Roman" w:hAnsi="Times New Roman" w:eastAsia="黑体"/>
          <w:color w:val="000000"/>
          <w:sz w:val="32"/>
          <w:szCs w:val="32"/>
        </w:rPr>
      </w:pPr>
    </w:p>
    <w:p>
      <w:pPr>
        <w:spacing w:line="600" w:lineRule="exact"/>
        <w:jc w:val="left"/>
        <w:rPr>
          <w:rFonts w:ascii="Times New Roman" w:hAnsi="Times New Roman" w:eastAsia="黑体"/>
          <w:color w:val="000000"/>
          <w:sz w:val="32"/>
          <w:szCs w:val="32"/>
        </w:rPr>
      </w:pPr>
    </w:p>
    <w:p>
      <w:pPr>
        <w:spacing w:line="600" w:lineRule="exact"/>
        <w:jc w:val="left"/>
        <w:rPr>
          <w:rFonts w:ascii="Times New Roman" w:hAnsi="Times New Roman" w:eastAsia="黑体"/>
          <w:color w:val="000000"/>
          <w:sz w:val="32"/>
          <w:szCs w:val="32"/>
        </w:rPr>
      </w:pPr>
    </w:p>
    <w:p>
      <w:pPr>
        <w:spacing w:line="600" w:lineRule="exact"/>
        <w:jc w:val="left"/>
        <w:rPr>
          <w:rFonts w:ascii="Times New Roman" w:hAnsi="Times New Roman" w:eastAsia="黑体"/>
          <w:color w:val="000000"/>
          <w:sz w:val="32"/>
          <w:szCs w:val="32"/>
        </w:rPr>
      </w:pPr>
    </w:p>
    <w:p>
      <w:pPr>
        <w:spacing w:line="600" w:lineRule="exact"/>
        <w:jc w:val="left"/>
        <w:rPr>
          <w:rFonts w:ascii="Times New Roman" w:hAnsi="Times New Roman" w:eastAsia="黑体"/>
          <w:color w:val="000000"/>
          <w:sz w:val="32"/>
          <w:szCs w:val="32"/>
        </w:rPr>
      </w:pPr>
    </w:p>
    <w:p>
      <w:pPr>
        <w:spacing w:line="600" w:lineRule="exact"/>
        <w:jc w:val="left"/>
        <w:rPr>
          <w:rFonts w:ascii="Times New Roman" w:hAnsi="Times New Roman" w:eastAsia="黑体"/>
          <w:color w:val="000000"/>
          <w:sz w:val="32"/>
          <w:szCs w:val="32"/>
        </w:rPr>
      </w:pPr>
    </w:p>
    <w:p>
      <w:pPr>
        <w:spacing w:line="600" w:lineRule="exact"/>
        <w:jc w:val="left"/>
        <w:rPr>
          <w:rFonts w:ascii="Times New Roman" w:hAnsi="Times New Roman" w:eastAsia="黑体"/>
          <w:color w:val="000000"/>
          <w:sz w:val="32"/>
          <w:szCs w:val="32"/>
        </w:rPr>
      </w:pPr>
    </w:p>
    <w:p>
      <w:pPr>
        <w:spacing w:line="600" w:lineRule="exact"/>
        <w:jc w:val="left"/>
        <w:rPr>
          <w:rFonts w:ascii="Times New Roman" w:hAnsi="Times New Roman" w:eastAsia="黑体"/>
          <w:color w:val="000000"/>
          <w:sz w:val="32"/>
          <w:szCs w:val="32"/>
        </w:rPr>
      </w:pPr>
    </w:p>
    <w:p>
      <w:pPr>
        <w:spacing w:line="600" w:lineRule="exact"/>
        <w:jc w:val="left"/>
        <w:rPr>
          <w:rFonts w:ascii="Times New Roman" w:hAnsi="Times New Roman" w:eastAsia="黑体"/>
          <w:color w:val="000000"/>
          <w:sz w:val="32"/>
          <w:szCs w:val="32"/>
        </w:rPr>
      </w:pPr>
      <w:r>
        <w:rPr>
          <w:rFonts w:ascii="Times New Roman" w:hAnsi="Times New Roman" w:eastAsia="黑体"/>
          <w:color w:val="000000"/>
          <w:sz w:val="32"/>
          <w:szCs w:val="32"/>
        </w:rPr>
        <w:t>附件4</w:t>
      </w:r>
    </w:p>
    <w:p>
      <w:pPr>
        <w:jc w:val="left"/>
        <w:rPr>
          <w:rFonts w:ascii="Times New Roman" w:hAnsi="Times New Roman"/>
          <w:bCs/>
          <w:sz w:val="32"/>
          <w:szCs w:val="32"/>
        </w:rPr>
      </w:pPr>
    </w:p>
    <w:p>
      <w:pPr>
        <w:spacing w:after="120" w:afterLines="50" w:line="600" w:lineRule="exact"/>
        <w:jc w:val="center"/>
        <w:rPr>
          <w:rFonts w:ascii="方正小标宋简体" w:hAnsi="Times New Roman" w:eastAsia="方正小标宋简体"/>
          <w:sz w:val="44"/>
          <w:szCs w:val="44"/>
        </w:rPr>
      </w:pPr>
      <w:r>
        <w:rPr>
          <w:rFonts w:ascii="方正小标宋简体" w:hAnsi="Times New Roman" w:eastAsia="方正小标宋简体"/>
          <w:sz w:val="44"/>
          <w:szCs w:val="44"/>
        </w:rPr>
        <w:t>2021年度项目支出绩效自评报告</w:t>
      </w:r>
    </w:p>
    <w:tbl>
      <w:tblPr>
        <w:tblStyle w:val="7"/>
        <w:tblpPr w:leftFromText="180" w:rightFromText="180" w:vertAnchor="text" w:horzAnchor="margin" w:tblpXSpec="center" w:tblpY="189"/>
        <w:tblW w:w="916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57"/>
        <w:gridCol w:w="1972"/>
        <w:gridCol w:w="56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4" w:hRule="atLeast"/>
        </w:trPr>
        <w:tc>
          <w:tcPr>
            <w:tcW w:w="1557" w:type="dxa"/>
            <w:vMerge w:val="restart"/>
            <w:noWrap w:val="0"/>
            <w:vAlign w:val="center"/>
          </w:tcPr>
          <w:p>
            <w:pPr>
              <w:spacing w:line="576" w:lineRule="exact"/>
              <w:jc w:val="center"/>
              <w:rPr>
                <w:rFonts w:hint="eastAsia" w:eastAsia="仿宋" w:cs="仿宋"/>
                <w:sz w:val="18"/>
                <w:szCs w:val="18"/>
              </w:rPr>
            </w:pPr>
            <w:r>
              <w:rPr>
                <w:rFonts w:hint="eastAsia" w:eastAsia="仿宋" w:cs="仿宋"/>
                <w:sz w:val="18"/>
                <w:szCs w:val="18"/>
              </w:rPr>
              <w:t>部门概况</w:t>
            </w:r>
          </w:p>
        </w:tc>
        <w:tc>
          <w:tcPr>
            <w:tcW w:w="1972" w:type="dxa"/>
            <w:noWrap w:val="0"/>
            <w:vAlign w:val="center"/>
          </w:tcPr>
          <w:p>
            <w:pPr>
              <w:spacing w:line="576" w:lineRule="exact"/>
              <w:jc w:val="center"/>
              <w:rPr>
                <w:rFonts w:hint="eastAsia" w:eastAsia="仿宋" w:cs="仿宋"/>
                <w:sz w:val="18"/>
                <w:szCs w:val="18"/>
              </w:rPr>
            </w:pPr>
            <w:r>
              <w:rPr>
                <w:rFonts w:hint="eastAsia" w:eastAsia="仿宋" w:cs="仿宋"/>
                <w:sz w:val="18"/>
                <w:szCs w:val="18"/>
              </w:rPr>
              <w:t>专项名称</w:t>
            </w:r>
          </w:p>
        </w:tc>
        <w:tc>
          <w:tcPr>
            <w:tcW w:w="5633" w:type="dxa"/>
            <w:noWrap w:val="0"/>
            <w:vAlign w:val="center"/>
          </w:tcPr>
          <w:p>
            <w:pPr>
              <w:spacing w:line="576" w:lineRule="exact"/>
              <w:ind w:right="71" w:rightChars="34"/>
              <w:jc w:val="center"/>
              <w:rPr>
                <w:rFonts w:hint="eastAsia" w:eastAsia="仿宋" w:cs="仿宋"/>
                <w:sz w:val="18"/>
                <w:szCs w:val="18"/>
              </w:rPr>
            </w:pPr>
            <w:r>
              <w:rPr>
                <w:rFonts w:hint="eastAsia" w:ascii="Times New Roman" w:hAnsi="Times New Roman" w:eastAsia="仿宋_GB2312"/>
                <w:sz w:val="20"/>
                <w:szCs w:val="20"/>
              </w:rPr>
              <w:t>湘南起义纪念园提质改造前期经费、红色文化旅游标志标牌和智慧旅游建设工程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4" w:hRule="atLeast"/>
        </w:trPr>
        <w:tc>
          <w:tcPr>
            <w:tcW w:w="1557" w:type="dxa"/>
            <w:vMerge w:val="continue"/>
            <w:noWrap w:val="0"/>
            <w:vAlign w:val="top"/>
          </w:tcPr>
          <w:p>
            <w:pPr>
              <w:rPr>
                <w:rFonts w:hint="eastAsia" w:eastAsia="仿宋" w:cs="仿宋"/>
                <w:sz w:val="18"/>
                <w:szCs w:val="18"/>
              </w:rPr>
            </w:pPr>
          </w:p>
        </w:tc>
        <w:tc>
          <w:tcPr>
            <w:tcW w:w="1972" w:type="dxa"/>
            <w:noWrap w:val="0"/>
            <w:vAlign w:val="center"/>
          </w:tcPr>
          <w:p>
            <w:pPr>
              <w:spacing w:line="576" w:lineRule="exact"/>
              <w:jc w:val="center"/>
              <w:rPr>
                <w:rFonts w:hint="eastAsia" w:eastAsia="仿宋" w:cs="仿宋"/>
                <w:sz w:val="18"/>
                <w:szCs w:val="18"/>
              </w:rPr>
            </w:pPr>
            <w:r>
              <w:rPr>
                <w:rFonts w:hint="eastAsia" w:eastAsia="仿宋" w:cs="仿宋"/>
                <w:sz w:val="18"/>
                <w:szCs w:val="18"/>
              </w:rPr>
              <w:t>年度预算金额</w:t>
            </w:r>
          </w:p>
        </w:tc>
        <w:tc>
          <w:tcPr>
            <w:tcW w:w="5633" w:type="dxa"/>
            <w:noWrap w:val="0"/>
            <w:vAlign w:val="center"/>
          </w:tcPr>
          <w:p>
            <w:pPr>
              <w:spacing w:line="576" w:lineRule="exact"/>
              <w:ind w:right="879" w:rightChars="419"/>
              <w:jc w:val="center"/>
              <w:rPr>
                <w:rFonts w:hint="eastAsia" w:eastAsia="仿宋" w:cs="仿宋"/>
                <w:sz w:val="18"/>
                <w:szCs w:val="18"/>
              </w:rPr>
            </w:pPr>
            <w:r>
              <w:rPr>
                <w:rFonts w:hint="eastAsia" w:eastAsia="仿宋" w:cs="仿宋"/>
                <w:sz w:val="18"/>
                <w:szCs w:val="18"/>
              </w:rPr>
              <w:t>89.2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4" w:hRule="atLeast"/>
        </w:trPr>
        <w:tc>
          <w:tcPr>
            <w:tcW w:w="1557" w:type="dxa"/>
            <w:vMerge w:val="continue"/>
            <w:noWrap w:val="0"/>
            <w:vAlign w:val="top"/>
          </w:tcPr>
          <w:p>
            <w:pPr>
              <w:rPr>
                <w:rFonts w:hint="eastAsia" w:eastAsia="仿宋" w:cs="仿宋"/>
                <w:sz w:val="18"/>
                <w:szCs w:val="18"/>
              </w:rPr>
            </w:pPr>
          </w:p>
        </w:tc>
        <w:tc>
          <w:tcPr>
            <w:tcW w:w="1972" w:type="dxa"/>
            <w:noWrap w:val="0"/>
            <w:vAlign w:val="center"/>
          </w:tcPr>
          <w:p>
            <w:pPr>
              <w:spacing w:line="576" w:lineRule="exact"/>
              <w:jc w:val="center"/>
              <w:rPr>
                <w:rFonts w:hint="eastAsia" w:eastAsia="仿宋" w:cs="仿宋"/>
                <w:sz w:val="18"/>
                <w:szCs w:val="18"/>
              </w:rPr>
            </w:pPr>
            <w:r>
              <w:rPr>
                <w:rFonts w:hint="eastAsia" w:eastAsia="仿宋" w:cs="仿宋"/>
                <w:sz w:val="18"/>
                <w:szCs w:val="18"/>
              </w:rPr>
              <w:t>项目主管部门</w:t>
            </w:r>
          </w:p>
        </w:tc>
        <w:tc>
          <w:tcPr>
            <w:tcW w:w="5633" w:type="dxa"/>
            <w:noWrap w:val="0"/>
            <w:vAlign w:val="center"/>
          </w:tcPr>
          <w:p>
            <w:pPr>
              <w:spacing w:line="576" w:lineRule="exact"/>
              <w:ind w:right="71" w:rightChars="34"/>
              <w:jc w:val="center"/>
              <w:rPr>
                <w:rFonts w:hint="eastAsia" w:eastAsia="仿宋" w:cs="仿宋"/>
                <w:sz w:val="18"/>
                <w:szCs w:val="18"/>
              </w:rPr>
            </w:pPr>
            <w:r>
              <w:rPr>
                <w:rFonts w:hint="eastAsia" w:eastAsia="仿宋" w:cs="仿宋"/>
                <w:sz w:val="18"/>
                <w:szCs w:val="18"/>
              </w:rPr>
              <w:t>郴州市文化旅游广电体育局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4" w:hRule="atLeast"/>
        </w:trPr>
        <w:tc>
          <w:tcPr>
            <w:tcW w:w="1557" w:type="dxa"/>
            <w:vMerge w:val="continue"/>
            <w:noWrap w:val="0"/>
            <w:vAlign w:val="top"/>
          </w:tcPr>
          <w:p>
            <w:pPr>
              <w:rPr>
                <w:rFonts w:hint="eastAsia" w:eastAsia="仿宋" w:cs="仿宋"/>
                <w:sz w:val="18"/>
                <w:szCs w:val="18"/>
              </w:rPr>
            </w:pPr>
          </w:p>
        </w:tc>
        <w:tc>
          <w:tcPr>
            <w:tcW w:w="1972" w:type="dxa"/>
            <w:noWrap w:val="0"/>
            <w:vAlign w:val="center"/>
          </w:tcPr>
          <w:p>
            <w:pPr>
              <w:spacing w:line="576" w:lineRule="exact"/>
              <w:jc w:val="center"/>
              <w:rPr>
                <w:rFonts w:hint="eastAsia" w:eastAsia="仿宋" w:cs="仿宋"/>
                <w:sz w:val="18"/>
                <w:szCs w:val="18"/>
              </w:rPr>
            </w:pPr>
            <w:r>
              <w:rPr>
                <w:rFonts w:hint="eastAsia" w:eastAsia="仿宋" w:cs="仿宋"/>
                <w:sz w:val="18"/>
                <w:szCs w:val="18"/>
              </w:rPr>
              <w:t>项目立项目的</w:t>
            </w:r>
          </w:p>
        </w:tc>
        <w:tc>
          <w:tcPr>
            <w:tcW w:w="5633" w:type="dxa"/>
            <w:noWrap w:val="0"/>
            <w:vAlign w:val="center"/>
          </w:tcPr>
          <w:p>
            <w:pPr>
              <w:spacing w:line="576" w:lineRule="exact"/>
              <w:ind w:right="71" w:rightChars="34"/>
              <w:jc w:val="left"/>
              <w:rPr>
                <w:rFonts w:hint="eastAsia" w:eastAsia="仿宋" w:cs="仿宋"/>
                <w:sz w:val="18"/>
                <w:szCs w:val="18"/>
              </w:rPr>
            </w:pPr>
            <w:r>
              <w:rPr>
                <w:rFonts w:hint="eastAsia" w:eastAsia="仿宋" w:cs="仿宋"/>
                <w:sz w:val="18"/>
                <w:szCs w:val="18"/>
              </w:rPr>
              <w:t>通过对湘南起义纪念园进行提质改造，将有助提升创建全国爱国主义教育基地，进一步带动我市红色旅游产业蓬勃发展。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32" w:hRule="atLeast"/>
        </w:trPr>
        <w:tc>
          <w:tcPr>
            <w:tcW w:w="1557" w:type="dxa"/>
            <w:vMerge w:val="restart"/>
            <w:noWrap w:val="0"/>
            <w:vAlign w:val="center"/>
          </w:tcPr>
          <w:p>
            <w:pPr>
              <w:spacing w:line="576" w:lineRule="exact"/>
              <w:jc w:val="center"/>
              <w:rPr>
                <w:rFonts w:hint="eastAsia" w:eastAsia="仿宋" w:cs="仿宋"/>
                <w:sz w:val="18"/>
                <w:szCs w:val="18"/>
              </w:rPr>
            </w:pPr>
            <w:r>
              <w:rPr>
                <w:rFonts w:hint="eastAsia" w:eastAsia="仿宋" w:cs="仿宋"/>
                <w:sz w:val="18"/>
                <w:szCs w:val="18"/>
              </w:rPr>
              <w:t>绩效情况</w:t>
            </w:r>
          </w:p>
        </w:tc>
        <w:tc>
          <w:tcPr>
            <w:tcW w:w="1972" w:type="dxa"/>
            <w:noWrap w:val="0"/>
            <w:vAlign w:val="center"/>
          </w:tcPr>
          <w:p>
            <w:pPr>
              <w:spacing w:line="576" w:lineRule="exact"/>
              <w:jc w:val="center"/>
              <w:rPr>
                <w:rFonts w:hint="eastAsia" w:eastAsia="仿宋" w:cs="仿宋"/>
                <w:sz w:val="18"/>
                <w:szCs w:val="18"/>
              </w:rPr>
            </w:pPr>
            <w:r>
              <w:rPr>
                <w:rFonts w:hint="eastAsia" w:eastAsia="仿宋" w:cs="仿宋"/>
                <w:sz w:val="18"/>
                <w:szCs w:val="18"/>
              </w:rPr>
              <w:t>项目支出管理和使用基本情况</w:t>
            </w:r>
          </w:p>
        </w:tc>
        <w:tc>
          <w:tcPr>
            <w:tcW w:w="5633" w:type="dxa"/>
            <w:noWrap w:val="0"/>
            <w:vAlign w:val="center"/>
          </w:tcPr>
          <w:p>
            <w:pPr>
              <w:numPr>
                <w:ilvl w:val="0"/>
                <w:numId w:val="5"/>
              </w:numPr>
              <w:ind w:right="71" w:rightChars="34"/>
              <w:rPr>
                <w:rFonts w:hint="eastAsia" w:eastAsia="仿宋" w:cs="仿宋"/>
                <w:color w:val="000000"/>
                <w:sz w:val="20"/>
                <w:szCs w:val="20"/>
              </w:rPr>
            </w:pPr>
            <w:r>
              <w:rPr>
                <w:rFonts w:hint="eastAsia" w:eastAsia="仿宋" w:cs="仿宋"/>
                <w:color w:val="000000"/>
                <w:sz w:val="20"/>
                <w:szCs w:val="20"/>
              </w:rPr>
              <w:t>按计划、按进度申报资金，</w:t>
            </w:r>
          </w:p>
          <w:p>
            <w:pPr>
              <w:numPr>
                <w:ilvl w:val="0"/>
                <w:numId w:val="5"/>
              </w:numPr>
              <w:ind w:right="71" w:rightChars="34"/>
              <w:rPr>
                <w:rFonts w:hint="eastAsia" w:eastAsia="仿宋" w:cs="仿宋"/>
                <w:sz w:val="18"/>
                <w:szCs w:val="18"/>
              </w:rPr>
            </w:pPr>
            <w:r>
              <w:rPr>
                <w:rFonts w:hint="eastAsia" w:eastAsia="仿宋" w:cs="仿宋"/>
                <w:color w:val="000000"/>
                <w:sz w:val="20"/>
                <w:szCs w:val="20"/>
              </w:rPr>
              <w:t>按项目预算设定的用途使用。</w:t>
            </w:r>
          </w:p>
          <w:p>
            <w:pPr>
              <w:widowControl/>
              <w:shd w:val="clear" w:color="auto" w:fill="FFFFFF"/>
              <w:spacing w:before="60" w:after="150" w:line="30" w:lineRule="atLeast"/>
              <w:ind w:firstLine="525"/>
              <w:jc w:val="left"/>
              <w:rPr>
                <w:rFonts w:hint="eastAsia" w:eastAsia="仿宋" w:cs="仿宋"/>
                <w:color w:val="000000"/>
                <w:sz w:val="20"/>
                <w:szCs w:val="20"/>
                <w:lang w:val="zh-CN"/>
              </w:rPr>
            </w:pPr>
            <w:r>
              <w:rPr>
                <w:rFonts w:hint="eastAsia" w:eastAsia="仿宋" w:cs="仿宋"/>
                <w:color w:val="000000"/>
                <w:sz w:val="20"/>
                <w:szCs w:val="20"/>
              </w:rPr>
              <w:t>3、全年预算89.2万元（其中含上年结转59.23万元），本年支出89.2万元，该资金</w:t>
            </w:r>
            <w:r>
              <w:rPr>
                <w:rFonts w:hint="eastAsia" w:eastAsia="仿宋" w:cs="仿宋"/>
                <w:color w:val="000000"/>
                <w:sz w:val="20"/>
                <w:szCs w:val="20"/>
                <w:lang w:val="zh-CN"/>
              </w:rPr>
              <w:t>主要用于可研编制费、道路设计费、勘察设计费、集散纪念广场设计费等项目前期费用，以及夏明震烈士纪念碑周围环境整治工程款、游客服务部改造工程款、纪念馆道路导向牌制作安装费等支出。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557" w:type="dxa"/>
            <w:vMerge w:val="continue"/>
            <w:noWrap w:val="0"/>
            <w:vAlign w:val="top"/>
          </w:tcPr>
          <w:p>
            <w:pPr>
              <w:rPr>
                <w:rFonts w:hint="eastAsia" w:eastAsia="仿宋" w:cs="仿宋"/>
                <w:sz w:val="18"/>
                <w:szCs w:val="18"/>
              </w:rPr>
            </w:pPr>
          </w:p>
        </w:tc>
        <w:tc>
          <w:tcPr>
            <w:tcW w:w="1972" w:type="dxa"/>
            <w:noWrap w:val="0"/>
            <w:vAlign w:val="center"/>
          </w:tcPr>
          <w:p>
            <w:pPr>
              <w:spacing w:line="576" w:lineRule="exact"/>
              <w:jc w:val="center"/>
              <w:rPr>
                <w:rFonts w:hint="eastAsia" w:eastAsia="仿宋" w:cs="仿宋"/>
                <w:sz w:val="18"/>
                <w:szCs w:val="18"/>
              </w:rPr>
            </w:pPr>
            <w:r>
              <w:rPr>
                <w:rFonts w:hint="eastAsia" w:eastAsia="仿宋" w:cs="仿宋"/>
                <w:sz w:val="18"/>
                <w:szCs w:val="18"/>
              </w:rPr>
              <w:t>项目绩效目标完成情况</w:t>
            </w:r>
          </w:p>
        </w:tc>
        <w:tc>
          <w:tcPr>
            <w:tcW w:w="5633" w:type="dxa"/>
            <w:noWrap w:val="0"/>
            <w:vAlign w:val="top"/>
          </w:tcPr>
          <w:p>
            <w:pPr>
              <w:numPr>
                <w:ilvl w:val="0"/>
                <w:numId w:val="6"/>
              </w:numPr>
              <w:ind w:right="71" w:rightChars="34"/>
              <w:jc w:val="left"/>
              <w:rPr>
                <w:rFonts w:hint="eastAsia" w:eastAsia="仿宋" w:cs="仿宋"/>
                <w:sz w:val="18"/>
                <w:szCs w:val="18"/>
                <w:highlight w:val="none"/>
              </w:rPr>
            </w:pPr>
            <w:r>
              <w:rPr>
                <w:rFonts w:hint="eastAsia" w:eastAsia="仿宋" w:cs="仿宋"/>
                <w:sz w:val="18"/>
                <w:szCs w:val="18"/>
              </w:rPr>
              <w:t>按照项目前期规划，已完成纪念园提质改造前期初步工作，包括工程</w:t>
            </w:r>
            <w:r>
              <w:rPr>
                <w:rFonts w:hint="eastAsia" w:eastAsia="仿宋" w:cs="仿宋"/>
                <w:sz w:val="18"/>
                <w:szCs w:val="18"/>
                <w:highlight w:val="none"/>
              </w:rPr>
              <w:t>项目可研编制、道路设计、道路勘察、集散纪念广场设计等，为工程下步施工奠定基础；</w:t>
            </w:r>
          </w:p>
          <w:p>
            <w:pPr>
              <w:pStyle w:val="2"/>
              <w:numPr>
                <w:ilvl w:val="0"/>
                <w:numId w:val="6"/>
              </w:numPr>
              <w:rPr>
                <w:rFonts w:hint="eastAsia" w:eastAsia="仿宋" w:cs="仿宋"/>
                <w:sz w:val="18"/>
                <w:szCs w:val="18"/>
              </w:rPr>
            </w:pPr>
            <w:r>
              <w:rPr>
                <w:rFonts w:hint="eastAsia" w:eastAsia="仿宋" w:cs="仿宋"/>
                <w:sz w:val="18"/>
                <w:szCs w:val="18"/>
                <w:highlight w:val="none"/>
              </w:rPr>
              <w:t>完成纪念园红色文化旅游标识标牌及智慧旅游建设性工作，包括纪念馆道路导向牌制作安装、游客服务中心升级改造、夏明震烈士纪念碑周围环境整治等，园区面貌已焕然一新，带动了我园红色旅游</w:t>
            </w:r>
            <w:r>
              <w:rPr>
                <w:rFonts w:hint="eastAsia" w:eastAsia="仿宋" w:cs="仿宋"/>
                <w:sz w:val="18"/>
                <w:szCs w:val="18"/>
              </w:rPr>
              <w:t>发展。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5" w:hRule="atLeast"/>
        </w:trPr>
        <w:tc>
          <w:tcPr>
            <w:tcW w:w="1557" w:type="dxa"/>
            <w:vMerge w:val="restart"/>
            <w:noWrap w:val="0"/>
            <w:vAlign w:val="center"/>
          </w:tcPr>
          <w:p>
            <w:pPr>
              <w:spacing w:line="576" w:lineRule="exact"/>
              <w:jc w:val="center"/>
              <w:rPr>
                <w:rFonts w:hint="eastAsia" w:eastAsia="仿宋" w:cs="仿宋"/>
                <w:sz w:val="18"/>
                <w:szCs w:val="18"/>
              </w:rPr>
            </w:pPr>
            <w:r>
              <w:rPr>
                <w:rFonts w:hint="eastAsia" w:eastAsia="仿宋" w:cs="仿宋"/>
                <w:sz w:val="18"/>
                <w:szCs w:val="18"/>
              </w:rPr>
              <w:t>存在的问题分析及改进措施</w:t>
            </w:r>
          </w:p>
        </w:tc>
        <w:tc>
          <w:tcPr>
            <w:tcW w:w="1972" w:type="dxa"/>
            <w:noWrap w:val="0"/>
            <w:vAlign w:val="center"/>
          </w:tcPr>
          <w:p>
            <w:pPr>
              <w:spacing w:line="576" w:lineRule="exact"/>
              <w:jc w:val="center"/>
              <w:rPr>
                <w:rFonts w:hint="eastAsia" w:eastAsia="仿宋" w:cs="仿宋"/>
                <w:sz w:val="18"/>
                <w:szCs w:val="18"/>
              </w:rPr>
            </w:pPr>
            <w:r>
              <w:rPr>
                <w:rFonts w:hint="eastAsia" w:eastAsia="仿宋" w:cs="仿宋"/>
                <w:sz w:val="18"/>
                <w:szCs w:val="18"/>
              </w:rPr>
              <w:t>存在的问题</w:t>
            </w:r>
          </w:p>
        </w:tc>
        <w:tc>
          <w:tcPr>
            <w:tcW w:w="5633" w:type="dxa"/>
            <w:noWrap w:val="0"/>
            <w:vAlign w:val="center"/>
          </w:tcPr>
          <w:p>
            <w:pPr>
              <w:spacing w:line="576" w:lineRule="exact"/>
              <w:ind w:right="879" w:rightChars="419"/>
              <w:rPr>
                <w:rFonts w:hint="eastAsia" w:eastAsia="仿宋" w:cs="仿宋"/>
                <w:sz w:val="18"/>
                <w:szCs w:val="18"/>
              </w:rPr>
            </w:pPr>
            <w:r>
              <w:rPr>
                <w:rFonts w:hint="eastAsia" w:eastAsia="仿宋" w:cs="仿宋"/>
                <w:sz w:val="18"/>
                <w:szCs w:val="18"/>
              </w:rPr>
              <w:t xml:space="preserve">2020年初，由于疫情影响，导致游客服务中心提质改造工作滞后。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1" w:hRule="atLeast"/>
        </w:trPr>
        <w:tc>
          <w:tcPr>
            <w:tcW w:w="1557" w:type="dxa"/>
            <w:vMerge w:val="continue"/>
            <w:noWrap w:val="0"/>
            <w:vAlign w:val="top"/>
          </w:tcPr>
          <w:p>
            <w:pPr>
              <w:rPr>
                <w:rFonts w:hint="eastAsia" w:eastAsia="仿宋" w:cs="仿宋"/>
                <w:sz w:val="18"/>
                <w:szCs w:val="18"/>
              </w:rPr>
            </w:pPr>
          </w:p>
        </w:tc>
        <w:tc>
          <w:tcPr>
            <w:tcW w:w="1972" w:type="dxa"/>
            <w:noWrap w:val="0"/>
            <w:vAlign w:val="center"/>
          </w:tcPr>
          <w:p>
            <w:pPr>
              <w:spacing w:line="576" w:lineRule="exact"/>
              <w:jc w:val="center"/>
              <w:rPr>
                <w:rFonts w:hint="eastAsia" w:eastAsia="仿宋" w:cs="仿宋"/>
                <w:sz w:val="18"/>
                <w:szCs w:val="18"/>
              </w:rPr>
            </w:pPr>
            <w:r>
              <w:rPr>
                <w:rFonts w:hint="eastAsia" w:eastAsia="仿宋" w:cs="仿宋"/>
                <w:sz w:val="18"/>
                <w:szCs w:val="18"/>
              </w:rPr>
              <w:t>改进措施</w:t>
            </w:r>
          </w:p>
        </w:tc>
        <w:tc>
          <w:tcPr>
            <w:tcW w:w="5633" w:type="dxa"/>
            <w:noWrap w:val="0"/>
            <w:vAlign w:val="center"/>
          </w:tcPr>
          <w:p>
            <w:pPr>
              <w:spacing w:line="576" w:lineRule="exact"/>
              <w:ind w:right="879" w:rightChars="419"/>
              <w:jc w:val="left"/>
              <w:rPr>
                <w:rFonts w:hint="eastAsia" w:eastAsia="仿宋" w:cs="仿宋"/>
                <w:sz w:val="18"/>
                <w:szCs w:val="18"/>
              </w:rPr>
            </w:pPr>
            <w:r>
              <w:rPr>
                <w:rFonts w:hint="eastAsia" w:eastAsia="仿宋" w:cs="仿宋"/>
                <w:sz w:val="18"/>
                <w:szCs w:val="18"/>
              </w:rPr>
              <w:t>2021年已按工程要求如期完成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2" w:hRule="atLeast"/>
        </w:trPr>
        <w:tc>
          <w:tcPr>
            <w:tcW w:w="1557" w:type="dxa"/>
            <w:vMerge w:val="continue"/>
            <w:noWrap w:val="0"/>
            <w:vAlign w:val="top"/>
          </w:tcPr>
          <w:p>
            <w:pPr>
              <w:rPr>
                <w:rFonts w:hint="eastAsia" w:eastAsia="仿宋" w:cs="仿宋"/>
                <w:sz w:val="18"/>
                <w:szCs w:val="18"/>
              </w:rPr>
            </w:pPr>
          </w:p>
        </w:tc>
        <w:tc>
          <w:tcPr>
            <w:tcW w:w="1972" w:type="dxa"/>
            <w:noWrap w:val="0"/>
            <w:vAlign w:val="center"/>
          </w:tcPr>
          <w:p>
            <w:pPr>
              <w:spacing w:line="576" w:lineRule="exact"/>
              <w:jc w:val="center"/>
              <w:rPr>
                <w:rFonts w:hint="eastAsia" w:eastAsia="仿宋" w:cs="仿宋"/>
                <w:sz w:val="18"/>
                <w:szCs w:val="18"/>
              </w:rPr>
            </w:pPr>
            <w:r>
              <w:rPr>
                <w:rFonts w:hint="eastAsia" w:eastAsia="仿宋" w:cs="仿宋"/>
                <w:sz w:val="18"/>
                <w:szCs w:val="18"/>
              </w:rPr>
              <w:t>其他需要说明问题</w:t>
            </w:r>
          </w:p>
        </w:tc>
        <w:tc>
          <w:tcPr>
            <w:tcW w:w="5633" w:type="dxa"/>
            <w:noWrap w:val="0"/>
            <w:vAlign w:val="center"/>
          </w:tcPr>
          <w:p>
            <w:pPr>
              <w:spacing w:line="576" w:lineRule="exact"/>
              <w:ind w:right="879" w:rightChars="419"/>
              <w:rPr>
                <w:rFonts w:hint="eastAsia" w:eastAsia="仿宋" w:cs="仿宋"/>
                <w:sz w:val="18"/>
                <w:szCs w:val="18"/>
              </w:rPr>
            </w:pPr>
            <w:r>
              <w:rPr>
                <w:rFonts w:hint="eastAsia" w:eastAsia="仿宋" w:cs="仿宋"/>
                <w:sz w:val="18"/>
                <w:szCs w:val="18"/>
              </w:rPr>
              <w:t>无</w:t>
            </w:r>
          </w:p>
          <w:p>
            <w:pPr>
              <w:spacing w:line="576" w:lineRule="exact"/>
              <w:ind w:right="879" w:rightChars="419"/>
              <w:rPr>
                <w:rFonts w:hint="eastAsia" w:eastAsia="仿宋" w:cs="仿宋"/>
                <w:sz w:val="18"/>
                <w:szCs w:val="18"/>
              </w:rPr>
            </w:pPr>
          </w:p>
        </w:tc>
      </w:tr>
    </w:tbl>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r>
        <w:rPr>
          <w:rFonts w:hint="eastAsia" w:eastAsia="仿宋" w:cs="仿宋"/>
          <w:sz w:val="18"/>
          <w:szCs w:val="18"/>
        </w:rPr>
        <w:t>备注：每个项目支出分别填报自评报告和自评表。</w:t>
      </w:r>
    </w:p>
    <w:p>
      <w:pPr>
        <w:pStyle w:val="2"/>
        <w:rPr>
          <w:rFonts w:ascii="Times New Roman" w:hAnsi="Times New Roman" w:eastAsia="仿宋_GB2312"/>
          <w:sz w:val="22"/>
        </w:rPr>
      </w:pPr>
    </w:p>
    <w:p>
      <w:pPr>
        <w:pStyle w:val="2"/>
        <w:rPr>
          <w:rFonts w:ascii="Times New Roman" w:hAnsi="Times New Roman" w:eastAsia="黑体"/>
          <w:color w:val="000000"/>
          <w:sz w:val="32"/>
          <w:szCs w:val="32"/>
        </w:rPr>
      </w:pPr>
      <w:r>
        <w:rPr>
          <w:rFonts w:ascii="Times New Roman" w:hAnsi="Times New Roman" w:eastAsia="仿宋_GB2312"/>
          <w:sz w:val="22"/>
        </w:rPr>
        <w:t>填表人：</w:t>
      </w:r>
      <w:r>
        <w:rPr>
          <w:rFonts w:hint="eastAsia" w:ascii="Times New Roman" w:hAnsi="Times New Roman" w:eastAsia="仿宋_GB2312"/>
          <w:sz w:val="22"/>
        </w:rPr>
        <w:t>刘青</w:t>
      </w:r>
      <w:r>
        <w:rPr>
          <w:rFonts w:ascii="Times New Roman" w:hAnsi="Times New Roman" w:eastAsia="仿宋_GB2312"/>
          <w:sz w:val="22"/>
        </w:rPr>
        <w:t xml:space="preserve">  填报日期：</w:t>
      </w:r>
      <w:r>
        <w:rPr>
          <w:rFonts w:hint="eastAsia" w:ascii="Times New Roman" w:hAnsi="Times New Roman" w:eastAsia="仿宋_GB2312"/>
          <w:sz w:val="22"/>
        </w:rPr>
        <w:t>2022年4月16日</w:t>
      </w:r>
      <w:r>
        <w:rPr>
          <w:rFonts w:ascii="Times New Roman" w:hAnsi="Times New Roman" w:eastAsia="仿宋_GB2312"/>
          <w:sz w:val="22"/>
        </w:rPr>
        <w:t xml:space="preserve"> 联系电话： </w:t>
      </w:r>
      <w:r>
        <w:rPr>
          <w:rFonts w:hint="eastAsia" w:ascii="Times New Roman" w:hAnsi="Times New Roman" w:eastAsia="仿宋_GB2312"/>
          <w:sz w:val="22"/>
        </w:rPr>
        <w:t>13873563276</w:t>
      </w:r>
      <w:r>
        <w:rPr>
          <w:rFonts w:ascii="Times New Roman" w:hAnsi="Times New Roman" w:eastAsia="仿宋_GB2312"/>
          <w:sz w:val="22"/>
        </w:rPr>
        <w:t xml:space="preserve">  单位负责人签字：</w:t>
      </w:r>
    </w:p>
    <w:p>
      <w:pPr>
        <w:spacing w:line="600" w:lineRule="exact"/>
        <w:jc w:val="left"/>
        <w:rPr>
          <w:rFonts w:ascii="Times New Roman" w:hAnsi="Times New Roman" w:eastAsia="黑体"/>
          <w:sz w:val="32"/>
          <w:szCs w:val="32"/>
        </w:rPr>
      </w:pPr>
    </w:p>
    <w:p>
      <w:pPr>
        <w:spacing w:line="600" w:lineRule="exact"/>
        <w:jc w:val="left"/>
        <w:rPr>
          <w:rFonts w:ascii="Times New Roman" w:hAnsi="Times New Roman" w:eastAsia="黑体"/>
          <w:sz w:val="32"/>
          <w:szCs w:val="32"/>
        </w:rPr>
      </w:pPr>
      <w:r>
        <w:rPr>
          <w:rFonts w:ascii="Times New Roman" w:hAnsi="Times New Roman" w:eastAsia="黑体"/>
          <w:sz w:val="32"/>
          <w:szCs w:val="32"/>
        </w:rPr>
        <w:t>附件5</w:t>
      </w:r>
    </w:p>
    <w:p>
      <w:pPr>
        <w:spacing w:after="120" w:afterLines="50" w:line="600" w:lineRule="exact"/>
        <w:jc w:val="center"/>
        <w:rPr>
          <w:rFonts w:ascii="方正小标宋简体" w:hAnsi="Times New Roman" w:eastAsia="方正小标宋简体"/>
          <w:sz w:val="44"/>
          <w:szCs w:val="44"/>
        </w:rPr>
      </w:pPr>
    </w:p>
    <w:p>
      <w:pPr>
        <w:spacing w:after="120" w:afterLines="50" w:line="60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lang w:val="en-US" w:eastAsia="zh-CN"/>
        </w:rPr>
        <w:t>20</w:t>
      </w:r>
      <w:r>
        <w:rPr>
          <w:rFonts w:ascii="方正小标宋简体" w:hAnsi="Times New Roman" w:eastAsia="方正小标宋简体"/>
          <w:sz w:val="44"/>
          <w:szCs w:val="44"/>
        </w:rPr>
        <w:t>21年度项目支出绩效自评表</w:t>
      </w:r>
    </w:p>
    <w:tbl>
      <w:tblPr>
        <w:tblStyle w:val="7"/>
        <w:tblW w:w="945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921"/>
        <w:gridCol w:w="1085"/>
        <w:gridCol w:w="1085"/>
        <w:gridCol w:w="1230"/>
        <w:gridCol w:w="1140"/>
        <w:gridCol w:w="1140"/>
        <w:gridCol w:w="832"/>
        <w:gridCol w:w="877"/>
        <w:gridCol w:w="11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1" w:hRule="atLeast"/>
          <w:jc w:val="center"/>
        </w:trPr>
        <w:tc>
          <w:tcPr>
            <w:tcW w:w="921" w:type="dxa"/>
            <w:noWrap w:val="0"/>
            <w:vAlign w:val="center"/>
          </w:tcPr>
          <w:p>
            <w:pPr>
              <w:spacing w:line="26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项目支</w:t>
            </w:r>
          </w:p>
          <w:p>
            <w:pPr>
              <w:spacing w:line="26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出名称</w:t>
            </w:r>
          </w:p>
        </w:tc>
        <w:tc>
          <w:tcPr>
            <w:tcW w:w="8535" w:type="dxa"/>
            <w:gridSpan w:val="8"/>
            <w:noWrap w:val="0"/>
            <w:vAlign w:val="center"/>
          </w:tcPr>
          <w:p>
            <w:pPr>
              <w:jc w:val="center"/>
              <w:rPr>
                <w:rFonts w:ascii="Times New Roman" w:hAnsi="Times New Roman" w:eastAsia="仿宋_GB2312"/>
                <w:color w:val="000000"/>
                <w:sz w:val="18"/>
                <w:szCs w:val="18"/>
              </w:rPr>
            </w:pPr>
            <w:r>
              <w:rPr>
                <w:rFonts w:hint="eastAsia" w:ascii="Times New Roman" w:hAnsi="Times New Roman" w:eastAsia="仿宋_GB2312"/>
                <w:sz w:val="20"/>
                <w:szCs w:val="20"/>
              </w:rPr>
              <w:t>湘南起义纪念园提质改造前期经费、红色文化旅游标志标牌和智慧旅游建设工程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8" w:hRule="atLeast"/>
          <w:jc w:val="center"/>
        </w:trPr>
        <w:tc>
          <w:tcPr>
            <w:tcW w:w="921"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主管部门</w:t>
            </w:r>
          </w:p>
        </w:tc>
        <w:tc>
          <w:tcPr>
            <w:tcW w:w="4540" w:type="dxa"/>
            <w:gridSpan w:val="4"/>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sz w:val="18"/>
                <w:szCs w:val="18"/>
              </w:rPr>
              <w:t>郴州市文化旅游广电体育局</w:t>
            </w:r>
          </w:p>
        </w:tc>
        <w:tc>
          <w:tcPr>
            <w:tcW w:w="114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实施单位</w:t>
            </w:r>
          </w:p>
        </w:tc>
        <w:tc>
          <w:tcPr>
            <w:tcW w:w="2855" w:type="dxa"/>
            <w:gridSpan w:val="3"/>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郴州市烈士公园（湘南起义纪念馆）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1" w:hRule="atLeast"/>
          <w:jc w:val="center"/>
        </w:trPr>
        <w:tc>
          <w:tcPr>
            <w:tcW w:w="921" w:type="dxa"/>
            <w:vMerge w:val="restart"/>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项目资金</w:t>
            </w:r>
          </w:p>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（万元）</w:t>
            </w:r>
          </w:p>
        </w:tc>
        <w:tc>
          <w:tcPr>
            <w:tcW w:w="2170" w:type="dxa"/>
            <w:gridSpan w:val="2"/>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123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年初</w:t>
            </w:r>
          </w:p>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预算数</w:t>
            </w:r>
          </w:p>
        </w:tc>
        <w:tc>
          <w:tcPr>
            <w:tcW w:w="114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全年</w:t>
            </w:r>
          </w:p>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预算数</w:t>
            </w:r>
          </w:p>
        </w:tc>
        <w:tc>
          <w:tcPr>
            <w:tcW w:w="1140"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全年</w:t>
            </w:r>
          </w:p>
          <w:p>
            <w:pPr>
              <w:jc w:val="center"/>
              <w:rPr>
                <w:rFonts w:ascii="Times New Roman" w:hAnsi="Times New Roman" w:eastAsia="仿宋_GB2312"/>
                <w:sz w:val="18"/>
                <w:szCs w:val="18"/>
              </w:rPr>
            </w:pPr>
            <w:r>
              <w:rPr>
                <w:rFonts w:ascii="Times New Roman" w:hAnsi="Times New Roman" w:eastAsia="仿宋_GB2312"/>
                <w:sz w:val="18"/>
                <w:szCs w:val="18"/>
              </w:rPr>
              <w:t>执行数</w:t>
            </w:r>
          </w:p>
        </w:tc>
        <w:tc>
          <w:tcPr>
            <w:tcW w:w="832"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分值</w:t>
            </w:r>
          </w:p>
        </w:tc>
        <w:tc>
          <w:tcPr>
            <w:tcW w:w="87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执行率</w:t>
            </w:r>
          </w:p>
        </w:tc>
        <w:tc>
          <w:tcPr>
            <w:tcW w:w="114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center"/>
              <w:rPr>
                <w:rFonts w:ascii="Times New Roman" w:hAnsi="Times New Roman" w:eastAsia="仿宋_GB2312"/>
                <w:color w:val="000000"/>
                <w:sz w:val="18"/>
                <w:szCs w:val="18"/>
              </w:rPr>
            </w:pPr>
          </w:p>
        </w:tc>
        <w:tc>
          <w:tcPr>
            <w:tcW w:w="2170" w:type="dxa"/>
            <w:gridSpan w:val="2"/>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年度资金总额　</w:t>
            </w:r>
          </w:p>
        </w:tc>
        <w:tc>
          <w:tcPr>
            <w:tcW w:w="1230" w:type="dxa"/>
            <w:noWrap w:val="0"/>
            <w:vAlign w:val="center"/>
          </w:tcPr>
          <w:p>
            <w:pPr>
              <w:jc w:val="left"/>
              <w:rPr>
                <w:rFonts w:hint="eastAsia"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0</w:t>
            </w:r>
          </w:p>
        </w:tc>
        <w:tc>
          <w:tcPr>
            <w:tcW w:w="1140"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89.2</w:t>
            </w:r>
          </w:p>
        </w:tc>
        <w:tc>
          <w:tcPr>
            <w:tcW w:w="1140"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89.2</w:t>
            </w:r>
          </w:p>
        </w:tc>
        <w:tc>
          <w:tcPr>
            <w:tcW w:w="832"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10</w:t>
            </w:r>
          </w:p>
        </w:tc>
        <w:tc>
          <w:tcPr>
            <w:tcW w:w="877"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100%</w:t>
            </w:r>
          </w:p>
        </w:tc>
        <w:tc>
          <w:tcPr>
            <w:tcW w:w="1146"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center"/>
              <w:rPr>
                <w:rFonts w:ascii="Times New Roman" w:hAnsi="Times New Roman" w:eastAsia="仿宋_GB2312"/>
                <w:color w:val="000000"/>
                <w:sz w:val="18"/>
                <w:szCs w:val="18"/>
              </w:rPr>
            </w:pPr>
          </w:p>
        </w:tc>
        <w:tc>
          <w:tcPr>
            <w:tcW w:w="2170" w:type="dxa"/>
            <w:gridSpan w:val="2"/>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其中：当年财政拨款　</w:t>
            </w:r>
          </w:p>
        </w:tc>
        <w:tc>
          <w:tcPr>
            <w:tcW w:w="1230"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1140"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 xml:space="preserve">  29.97</w:t>
            </w:r>
          </w:p>
        </w:tc>
        <w:tc>
          <w:tcPr>
            <w:tcW w:w="1140"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29.97</w:t>
            </w:r>
          </w:p>
        </w:tc>
        <w:tc>
          <w:tcPr>
            <w:tcW w:w="832" w:type="dxa"/>
            <w:noWrap w:val="0"/>
            <w:vAlign w:val="center"/>
          </w:tcPr>
          <w:p>
            <w:pPr>
              <w:jc w:val="left"/>
              <w:rPr>
                <w:rFonts w:ascii="Times New Roman" w:hAnsi="Times New Roman" w:eastAsia="仿宋_GB2312"/>
                <w:color w:val="000000"/>
                <w:sz w:val="18"/>
                <w:szCs w:val="18"/>
              </w:rPr>
            </w:pPr>
          </w:p>
        </w:tc>
        <w:tc>
          <w:tcPr>
            <w:tcW w:w="877" w:type="dxa"/>
            <w:noWrap w:val="0"/>
            <w:vAlign w:val="center"/>
          </w:tcPr>
          <w:p>
            <w:pPr>
              <w:jc w:val="left"/>
              <w:rPr>
                <w:rFonts w:ascii="Times New Roman" w:hAnsi="Times New Roman" w:eastAsia="仿宋_GB2312"/>
                <w:color w:val="000000"/>
                <w:sz w:val="18"/>
                <w:szCs w:val="18"/>
              </w:rPr>
            </w:pPr>
          </w:p>
        </w:tc>
        <w:tc>
          <w:tcPr>
            <w:tcW w:w="1146"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center"/>
              <w:rPr>
                <w:rFonts w:ascii="Times New Roman" w:hAnsi="Times New Roman" w:eastAsia="仿宋_GB2312"/>
                <w:color w:val="000000"/>
                <w:sz w:val="18"/>
                <w:szCs w:val="18"/>
              </w:rPr>
            </w:pPr>
          </w:p>
        </w:tc>
        <w:tc>
          <w:tcPr>
            <w:tcW w:w="2170" w:type="dxa"/>
            <w:gridSpan w:val="2"/>
            <w:noWrap w:val="0"/>
            <w:vAlign w:val="center"/>
          </w:tcPr>
          <w:p>
            <w:pPr>
              <w:ind w:firstLine="540" w:firstLineChars="300"/>
              <w:jc w:val="left"/>
              <w:rPr>
                <w:rFonts w:ascii="Times New Roman" w:hAnsi="Times New Roman" w:eastAsia="仿宋_GB2312"/>
                <w:color w:val="000000"/>
                <w:sz w:val="18"/>
                <w:szCs w:val="18"/>
              </w:rPr>
            </w:pPr>
            <w:r>
              <w:rPr>
                <w:rFonts w:ascii="Times New Roman" w:hAnsi="Times New Roman" w:eastAsia="仿宋_GB2312"/>
                <w:color w:val="000000"/>
                <w:sz w:val="18"/>
                <w:szCs w:val="18"/>
              </w:rPr>
              <w:t>上年结转资金　</w:t>
            </w:r>
          </w:p>
        </w:tc>
        <w:tc>
          <w:tcPr>
            <w:tcW w:w="1230"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1140"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59.23</w:t>
            </w:r>
          </w:p>
        </w:tc>
        <w:tc>
          <w:tcPr>
            <w:tcW w:w="1140"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59.23</w:t>
            </w:r>
          </w:p>
        </w:tc>
        <w:tc>
          <w:tcPr>
            <w:tcW w:w="832"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877"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1146"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center"/>
              <w:rPr>
                <w:rFonts w:ascii="Times New Roman" w:hAnsi="Times New Roman" w:eastAsia="仿宋_GB2312"/>
                <w:color w:val="000000"/>
                <w:sz w:val="18"/>
                <w:szCs w:val="18"/>
              </w:rPr>
            </w:pPr>
          </w:p>
        </w:tc>
        <w:tc>
          <w:tcPr>
            <w:tcW w:w="2170" w:type="dxa"/>
            <w:gridSpan w:val="2"/>
            <w:noWrap w:val="0"/>
            <w:vAlign w:val="center"/>
          </w:tcPr>
          <w:p>
            <w:pPr>
              <w:ind w:firstLine="540" w:firstLineChars="300"/>
              <w:jc w:val="left"/>
              <w:rPr>
                <w:rFonts w:ascii="Times New Roman" w:hAnsi="Times New Roman" w:eastAsia="仿宋_GB2312"/>
                <w:color w:val="000000"/>
                <w:sz w:val="18"/>
                <w:szCs w:val="18"/>
              </w:rPr>
            </w:pPr>
            <w:r>
              <w:rPr>
                <w:rFonts w:ascii="Times New Roman" w:hAnsi="Times New Roman" w:eastAsia="仿宋_GB2312"/>
                <w:color w:val="000000"/>
                <w:sz w:val="18"/>
                <w:szCs w:val="18"/>
              </w:rPr>
              <w:t>其他资金</w:t>
            </w:r>
          </w:p>
        </w:tc>
        <w:tc>
          <w:tcPr>
            <w:tcW w:w="1230"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1140"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1140"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832"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877"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1146"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8" w:hRule="atLeast"/>
          <w:jc w:val="center"/>
        </w:trPr>
        <w:tc>
          <w:tcPr>
            <w:tcW w:w="921" w:type="dxa"/>
            <w:vMerge w:val="restart"/>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年度总体目标</w:t>
            </w:r>
          </w:p>
        </w:tc>
        <w:tc>
          <w:tcPr>
            <w:tcW w:w="4540" w:type="dxa"/>
            <w:gridSpan w:val="4"/>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预期目标</w:t>
            </w:r>
          </w:p>
        </w:tc>
        <w:tc>
          <w:tcPr>
            <w:tcW w:w="3995" w:type="dxa"/>
            <w:gridSpan w:val="4"/>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实际完成情况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center"/>
              <w:rPr>
                <w:rFonts w:ascii="Times New Roman" w:hAnsi="Times New Roman" w:eastAsia="仿宋_GB2312"/>
                <w:color w:val="000000"/>
                <w:sz w:val="18"/>
                <w:szCs w:val="18"/>
              </w:rPr>
            </w:pPr>
          </w:p>
        </w:tc>
        <w:tc>
          <w:tcPr>
            <w:tcW w:w="4540" w:type="dxa"/>
            <w:gridSpan w:val="4"/>
            <w:noWrap w:val="0"/>
            <w:vAlign w:val="center"/>
          </w:tcPr>
          <w:p>
            <w:pPr>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湘南起义纪念园进行提质改造</w:t>
            </w:r>
            <w:r>
              <w:rPr>
                <w:rFonts w:ascii="Times New Roman" w:hAnsi="Times New Roman" w:eastAsia="仿宋_GB2312"/>
                <w:color w:val="000000"/>
                <w:sz w:val="18"/>
                <w:szCs w:val="18"/>
              </w:rPr>
              <w:t>　　</w:t>
            </w:r>
          </w:p>
        </w:tc>
        <w:tc>
          <w:tcPr>
            <w:tcW w:w="3995" w:type="dxa"/>
            <w:gridSpan w:val="4"/>
            <w:noWrap w:val="0"/>
            <w:vAlign w:val="center"/>
          </w:tcPr>
          <w:p>
            <w:pPr>
              <w:jc w:val="left"/>
              <w:rPr>
                <w:rFonts w:hint="eastAsia"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2021年年底湘南起义纪念园提质改造以及红色旅游标识标牌建设完成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40" w:hRule="atLeast"/>
          <w:jc w:val="center"/>
        </w:trPr>
        <w:tc>
          <w:tcPr>
            <w:tcW w:w="921" w:type="dxa"/>
            <w:vMerge w:val="restart"/>
            <w:noWrap w:val="0"/>
            <w:vAlign w:val="center"/>
          </w:tcPr>
          <w:p>
            <w:pPr>
              <w:jc w:val="center"/>
              <w:rPr>
                <w:rFonts w:hint="eastAsia" w:ascii="Times New Roman" w:hAnsi="Times New Roman" w:eastAsia="仿宋_GB2312"/>
                <w:color w:val="000000"/>
                <w:sz w:val="18"/>
                <w:szCs w:val="18"/>
              </w:rPr>
            </w:pPr>
          </w:p>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绩</w:t>
            </w:r>
          </w:p>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效</w:t>
            </w:r>
          </w:p>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指</w:t>
            </w:r>
          </w:p>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标</w:t>
            </w:r>
          </w:p>
        </w:tc>
        <w:tc>
          <w:tcPr>
            <w:tcW w:w="1085" w:type="dxa"/>
            <w:noWrap w:val="0"/>
            <w:vAlign w:val="center"/>
          </w:tcPr>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一级指标</w:t>
            </w:r>
          </w:p>
        </w:tc>
        <w:tc>
          <w:tcPr>
            <w:tcW w:w="1085" w:type="dxa"/>
            <w:noWrap w:val="0"/>
            <w:vAlign w:val="center"/>
          </w:tcPr>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二级指标</w:t>
            </w:r>
          </w:p>
        </w:tc>
        <w:tc>
          <w:tcPr>
            <w:tcW w:w="1230" w:type="dxa"/>
            <w:noWrap w:val="0"/>
            <w:vAlign w:val="center"/>
          </w:tcPr>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三级指标</w:t>
            </w:r>
          </w:p>
        </w:tc>
        <w:tc>
          <w:tcPr>
            <w:tcW w:w="1140" w:type="dxa"/>
            <w:noWrap w:val="0"/>
            <w:vAlign w:val="center"/>
          </w:tcPr>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年度</w:t>
            </w:r>
          </w:p>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指标值</w:t>
            </w:r>
          </w:p>
        </w:tc>
        <w:tc>
          <w:tcPr>
            <w:tcW w:w="1140" w:type="dxa"/>
            <w:noWrap w:val="0"/>
            <w:vAlign w:val="center"/>
          </w:tcPr>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实际</w:t>
            </w:r>
          </w:p>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完成值</w:t>
            </w:r>
          </w:p>
        </w:tc>
        <w:tc>
          <w:tcPr>
            <w:tcW w:w="832" w:type="dxa"/>
            <w:noWrap w:val="0"/>
            <w:vAlign w:val="center"/>
          </w:tcPr>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分值</w:t>
            </w:r>
          </w:p>
        </w:tc>
        <w:tc>
          <w:tcPr>
            <w:tcW w:w="877" w:type="dxa"/>
            <w:noWrap w:val="0"/>
            <w:vAlign w:val="center"/>
          </w:tcPr>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得分</w:t>
            </w:r>
          </w:p>
        </w:tc>
        <w:tc>
          <w:tcPr>
            <w:tcW w:w="1146" w:type="dxa"/>
            <w:noWrap w:val="0"/>
            <w:vAlign w:val="center"/>
          </w:tcPr>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偏差原因</w:t>
            </w:r>
          </w:p>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分析及</w:t>
            </w:r>
          </w:p>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改进措施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ascii="Times New Roman" w:hAnsi="Times New Roman" w:eastAsia="仿宋_GB2312"/>
                <w:color w:val="000000"/>
                <w:sz w:val="18"/>
                <w:szCs w:val="18"/>
              </w:rPr>
            </w:pPr>
          </w:p>
        </w:tc>
        <w:tc>
          <w:tcPr>
            <w:tcW w:w="1085" w:type="dxa"/>
            <w:vMerge w:val="restart"/>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产出指标</w:t>
            </w:r>
          </w:p>
          <w:p>
            <w:pPr>
              <w:jc w:val="center"/>
              <w:rPr>
                <w:rFonts w:ascii="Times New Roman" w:hAnsi="Times New Roman" w:eastAsia="仿宋_GB2312"/>
                <w:color w:val="000000"/>
                <w:sz w:val="18"/>
                <w:szCs w:val="18"/>
              </w:rPr>
            </w:pPr>
          </w:p>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(50分)</w:t>
            </w:r>
          </w:p>
        </w:tc>
        <w:tc>
          <w:tcPr>
            <w:tcW w:w="1085" w:type="dxa"/>
            <w:vMerge w:val="restart"/>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数量指标</w:t>
            </w:r>
          </w:p>
        </w:tc>
        <w:tc>
          <w:tcPr>
            <w:tcW w:w="1230" w:type="dxa"/>
            <w:noWrap w:val="0"/>
            <w:vAlign w:val="center"/>
          </w:tcPr>
          <w:p>
            <w:pPr>
              <w:jc w:val="left"/>
              <w:rPr>
                <w:rFonts w:ascii="Times New Roman" w:hAnsi="Times New Roman" w:eastAsia="仿宋_GB2312"/>
                <w:color w:val="000000"/>
                <w:sz w:val="18"/>
                <w:szCs w:val="18"/>
              </w:rPr>
            </w:pPr>
            <w:r>
              <w:rPr>
                <w:rFonts w:hint="eastAsia" w:eastAsia="仿宋" w:cs="仿宋"/>
                <w:sz w:val="18"/>
                <w:szCs w:val="18"/>
              </w:rPr>
              <w:t>纪念广场设计工程完工率</w:t>
            </w:r>
          </w:p>
        </w:tc>
        <w:tc>
          <w:tcPr>
            <w:tcW w:w="1140"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95%</w:t>
            </w:r>
          </w:p>
        </w:tc>
        <w:tc>
          <w:tcPr>
            <w:tcW w:w="1140"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95%</w:t>
            </w:r>
          </w:p>
        </w:tc>
        <w:tc>
          <w:tcPr>
            <w:tcW w:w="832" w:type="dxa"/>
            <w:noWrap w:val="0"/>
            <w:vAlign w:val="center"/>
          </w:tcPr>
          <w:p>
            <w:pPr>
              <w:jc w:val="center"/>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3</w:t>
            </w:r>
          </w:p>
        </w:tc>
        <w:tc>
          <w:tcPr>
            <w:tcW w:w="877" w:type="dxa"/>
            <w:noWrap w:val="0"/>
            <w:vAlign w:val="center"/>
          </w:tcPr>
          <w:p>
            <w:pPr>
              <w:jc w:val="center"/>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3</w:t>
            </w:r>
          </w:p>
        </w:tc>
        <w:tc>
          <w:tcPr>
            <w:tcW w:w="1146"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ascii="Times New Roman" w:hAnsi="Times New Roman" w:eastAsia="仿宋_GB2312"/>
                <w:color w:val="000000"/>
                <w:sz w:val="18"/>
                <w:szCs w:val="18"/>
              </w:rPr>
            </w:pPr>
          </w:p>
        </w:tc>
        <w:tc>
          <w:tcPr>
            <w:tcW w:w="1085" w:type="dxa"/>
            <w:vMerge w:val="continue"/>
            <w:noWrap w:val="0"/>
            <w:vAlign w:val="center"/>
          </w:tcPr>
          <w:p>
            <w:pPr>
              <w:jc w:val="center"/>
              <w:rPr>
                <w:rFonts w:ascii="Times New Roman" w:hAnsi="Times New Roman" w:eastAsia="仿宋_GB2312"/>
                <w:color w:val="000000"/>
                <w:sz w:val="18"/>
                <w:szCs w:val="18"/>
              </w:rPr>
            </w:pPr>
          </w:p>
        </w:tc>
        <w:tc>
          <w:tcPr>
            <w:tcW w:w="1085" w:type="dxa"/>
            <w:vMerge w:val="continue"/>
            <w:noWrap w:val="0"/>
            <w:vAlign w:val="center"/>
          </w:tcPr>
          <w:p>
            <w:pPr>
              <w:jc w:val="left"/>
              <w:rPr>
                <w:rFonts w:ascii="Times New Roman" w:hAnsi="Times New Roman" w:eastAsia="仿宋_GB2312"/>
                <w:color w:val="000000"/>
                <w:sz w:val="18"/>
                <w:szCs w:val="18"/>
              </w:rPr>
            </w:pPr>
          </w:p>
        </w:tc>
        <w:tc>
          <w:tcPr>
            <w:tcW w:w="1230" w:type="dxa"/>
            <w:noWrap w:val="0"/>
            <w:vAlign w:val="center"/>
          </w:tcPr>
          <w:p>
            <w:pPr>
              <w:jc w:val="center"/>
              <w:rPr>
                <w:rFonts w:ascii="Times New Roman" w:hAnsi="Times New Roman" w:eastAsia="仿宋_GB2312"/>
                <w:color w:val="000000"/>
                <w:sz w:val="18"/>
                <w:szCs w:val="18"/>
              </w:rPr>
            </w:pPr>
            <w:r>
              <w:rPr>
                <w:rFonts w:hint="eastAsia" w:eastAsia="仿宋" w:cs="仿宋"/>
                <w:sz w:val="18"/>
                <w:szCs w:val="18"/>
              </w:rPr>
              <w:t>道路导向牌制作安装完工率</w:t>
            </w:r>
          </w:p>
        </w:tc>
        <w:tc>
          <w:tcPr>
            <w:tcW w:w="1140"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95%</w:t>
            </w:r>
          </w:p>
        </w:tc>
        <w:tc>
          <w:tcPr>
            <w:tcW w:w="1140"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95%</w:t>
            </w:r>
          </w:p>
        </w:tc>
        <w:tc>
          <w:tcPr>
            <w:tcW w:w="832" w:type="dxa"/>
            <w:noWrap w:val="0"/>
            <w:vAlign w:val="center"/>
          </w:tcPr>
          <w:p>
            <w:pPr>
              <w:jc w:val="center"/>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3</w:t>
            </w:r>
          </w:p>
        </w:tc>
        <w:tc>
          <w:tcPr>
            <w:tcW w:w="877" w:type="dxa"/>
            <w:noWrap w:val="0"/>
            <w:vAlign w:val="center"/>
          </w:tcPr>
          <w:p>
            <w:pPr>
              <w:jc w:val="center"/>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3</w:t>
            </w:r>
          </w:p>
        </w:tc>
        <w:tc>
          <w:tcPr>
            <w:tcW w:w="1146" w:type="dxa"/>
            <w:noWrap w:val="0"/>
            <w:vAlign w:val="center"/>
          </w:tcPr>
          <w:p>
            <w:pPr>
              <w:jc w:val="left"/>
              <w:rPr>
                <w:rFonts w:ascii="Times New Roman" w:hAnsi="Times New Roman"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ascii="Times New Roman" w:hAnsi="Times New Roman" w:eastAsia="仿宋_GB2312"/>
                <w:color w:val="000000"/>
                <w:sz w:val="18"/>
                <w:szCs w:val="18"/>
              </w:rPr>
            </w:pPr>
          </w:p>
        </w:tc>
        <w:tc>
          <w:tcPr>
            <w:tcW w:w="1085" w:type="dxa"/>
            <w:vMerge w:val="continue"/>
            <w:noWrap w:val="0"/>
            <w:vAlign w:val="center"/>
          </w:tcPr>
          <w:p>
            <w:pPr>
              <w:jc w:val="center"/>
              <w:rPr>
                <w:rFonts w:ascii="Times New Roman" w:hAnsi="Times New Roman" w:eastAsia="仿宋_GB2312"/>
                <w:color w:val="000000"/>
                <w:sz w:val="18"/>
                <w:szCs w:val="18"/>
              </w:rPr>
            </w:pPr>
          </w:p>
        </w:tc>
        <w:tc>
          <w:tcPr>
            <w:tcW w:w="1085" w:type="dxa"/>
            <w:vMerge w:val="continue"/>
            <w:noWrap w:val="0"/>
            <w:vAlign w:val="center"/>
          </w:tcPr>
          <w:p>
            <w:pPr>
              <w:jc w:val="center"/>
              <w:rPr>
                <w:rFonts w:ascii="Times New Roman" w:hAnsi="Times New Roman" w:eastAsia="仿宋_GB2312"/>
                <w:color w:val="000000"/>
                <w:sz w:val="18"/>
                <w:szCs w:val="18"/>
              </w:rPr>
            </w:pPr>
          </w:p>
        </w:tc>
        <w:tc>
          <w:tcPr>
            <w:tcW w:w="1230" w:type="dxa"/>
            <w:noWrap w:val="0"/>
            <w:vAlign w:val="center"/>
          </w:tcPr>
          <w:p>
            <w:pPr>
              <w:jc w:val="left"/>
              <w:rPr>
                <w:rFonts w:ascii="Times New Roman" w:hAnsi="Times New Roman" w:eastAsia="仿宋_GB2312"/>
                <w:color w:val="000000"/>
                <w:sz w:val="18"/>
                <w:szCs w:val="18"/>
              </w:rPr>
            </w:pPr>
            <w:r>
              <w:rPr>
                <w:rFonts w:hint="eastAsia" w:eastAsia="仿宋" w:cs="仿宋"/>
                <w:sz w:val="18"/>
                <w:szCs w:val="18"/>
              </w:rPr>
              <w:t>游客服务中心升级改造完工率</w:t>
            </w:r>
          </w:p>
        </w:tc>
        <w:tc>
          <w:tcPr>
            <w:tcW w:w="1140"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95%</w:t>
            </w:r>
          </w:p>
        </w:tc>
        <w:tc>
          <w:tcPr>
            <w:tcW w:w="1140"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95%</w:t>
            </w:r>
          </w:p>
        </w:tc>
        <w:tc>
          <w:tcPr>
            <w:tcW w:w="832" w:type="dxa"/>
            <w:noWrap w:val="0"/>
            <w:vAlign w:val="center"/>
          </w:tcPr>
          <w:p>
            <w:pPr>
              <w:jc w:val="center"/>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3</w:t>
            </w:r>
          </w:p>
        </w:tc>
        <w:tc>
          <w:tcPr>
            <w:tcW w:w="877" w:type="dxa"/>
            <w:noWrap w:val="0"/>
            <w:vAlign w:val="center"/>
          </w:tcPr>
          <w:p>
            <w:pPr>
              <w:jc w:val="center"/>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3</w:t>
            </w:r>
          </w:p>
        </w:tc>
        <w:tc>
          <w:tcPr>
            <w:tcW w:w="1146" w:type="dxa"/>
            <w:noWrap w:val="0"/>
            <w:vAlign w:val="center"/>
          </w:tcPr>
          <w:p>
            <w:pPr>
              <w:jc w:val="left"/>
              <w:rPr>
                <w:rFonts w:ascii="Times New Roman" w:hAnsi="Times New Roman"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ascii="Times New Roman" w:hAnsi="Times New Roman" w:eastAsia="仿宋_GB2312"/>
                <w:color w:val="000000"/>
                <w:sz w:val="18"/>
                <w:szCs w:val="18"/>
              </w:rPr>
            </w:pPr>
          </w:p>
        </w:tc>
        <w:tc>
          <w:tcPr>
            <w:tcW w:w="1085" w:type="dxa"/>
            <w:vMerge w:val="continue"/>
            <w:noWrap w:val="0"/>
            <w:vAlign w:val="center"/>
          </w:tcPr>
          <w:p>
            <w:pPr>
              <w:jc w:val="center"/>
              <w:rPr>
                <w:rFonts w:ascii="Times New Roman" w:hAnsi="Times New Roman" w:eastAsia="仿宋_GB2312"/>
                <w:color w:val="000000"/>
                <w:sz w:val="18"/>
                <w:szCs w:val="18"/>
              </w:rPr>
            </w:pPr>
          </w:p>
        </w:tc>
        <w:tc>
          <w:tcPr>
            <w:tcW w:w="1085" w:type="dxa"/>
            <w:vMerge w:val="continue"/>
            <w:noWrap w:val="0"/>
            <w:vAlign w:val="center"/>
          </w:tcPr>
          <w:p>
            <w:pPr>
              <w:jc w:val="center"/>
              <w:rPr>
                <w:rFonts w:ascii="Times New Roman" w:hAnsi="Times New Roman" w:eastAsia="仿宋_GB2312"/>
                <w:color w:val="000000"/>
                <w:sz w:val="18"/>
                <w:szCs w:val="18"/>
              </w:rPr>
            </w:pPr>
          </w:p>
        </w:tc>
        <w:tc>
          <w:tcPr>
            <w:tcW w:w="1230" w:type="dxa"/>
            <w:noWrap w:val="0"/>
            <w:vAlign w:val="center"/>
          </w:tcPr>
          <w:p>
            <w:pPr>
              <w:jc w:val="center"/>
              <w:rPr>
                <w:rFonts w:ascii="Times New Roman" w:hAnsi="Times New Roman" w:eastAsia="仿宋_GB2312"/>
                <w:color w:val="000000"/>
                <w:sz w:val="18"/>
                <w:szCs w:val="18"/>
              </w:rPr>
            </w:pPr>
            <w:r>
              <w:rPr>
                <w:rFonts w:hint="eastAsia" w:eastAsia="仿宋" w:cs="仿宋"/>
                <w:sz w:val="18"/>
                <w:szCs w:val="18"/>
              </w:rPr>
              <w:t>夏明震烈士纪念碑周围环境整治完工率</w:t>
            </w:r>
          </w:p>
        </w:tc>
        <w:tc>
          <w:tcPr>
            <w:tcW w:w="1140"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95%</w:t>
            </w:r>
          </w:p>
        </w:tc>
        <w:tc>
          <w:tcPr>
            <w:tcW w:w="1140"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95%</w:t>
            </w:r>
          </w:p>
        </w:tc>
        <w:tc>
          <w:tcPr>
            <w:tcW w:w="832" w:type="dxa"/>
            <w:noWrap w:val="0"/>
            <w:vAlign w:val="center"/>
          </w:tcPr>
          <w:p>
            <w:pPr>
              <w:jc w:val="center"/>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3</w:t>
            </w:r>
          </w:p>
        </w:tc>
        <w:tc>
          <w:tcPr>
            <w:tcW w:w="877" w:type="dxa"/>
            <w:noWrap w:val="0"/>
            <w:vAlign w:val="center"/>
          </w:tcPr>
          <w:p>
            <w:pPr>
              <w:jc w:val="center"/>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3</w:t>
            </w:r>
          </w:p>
        </w:tc>
        <w:tc>
          <w:tcPr>
            <w:tcW w:w="1146" w:type="dxa"/>
            <w:noWrap w:val="0"/>
            <w:vAlign w:val="center"/>
          </w:tcPr>
          <w:p>
            <w:pPr>
              <w:jc w:val="left"/>
              <w:rPr>
                <w:rFonts w:ascii="Times New Roman" w:hAnsi="Times New Roman"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ascii="Times New Roman" w:hAnsi="Times New Roman" w:eastAsia="仿宋_GB2312"/>
                <w:color w:val="000000"/>
                <w:sz w:val="18"/>
                <w:szCs w:val="18"/>
              </w:rPr>
            </w:pPr>
          </w:p>
        </w:tc>
        <w:tc>
          <w:tcPr>
            <w:tcW w:w="1085" w:type="dxa"/>
            <w:vMerge w:val="continue"/>
            <w:noWrap w:val="0"/>
            <w:vAlign w:val="center"/>
          </w:tcPr>
          <w:p>
            <w:pPr>
              <w:jc w:val="center"/>
              <w:rPr>
                <w:rFonts w:ascii="Times New Roman" w:hAnsi="Times New Roman" w:eastAsia="仿宋_GB2312"/>
                <w:color w:val="000000"/>
                <w:sz w:val="18"/>
                <w:szCs w:val="18"/>
              </w:rPr>
            </w:pPr>
          </w:p>
        </w:tc>
        <w:tc>
          <w:tcPr>
            <w:tcW w:w="1085" w:type="dxa"/>
            <w:vMerge w:val="restart"/>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质量指标</w:t>
            </w:r>
          </w:p>
        </w:tc>
        <w:tc>
          <w:tcPr>
            <w:tcW w:w="1230" w:type="dxa"/>
            <w:noWrap w:val="0"/>
            <w:vAlign w:val="center"/>
          </w:tcPr>
          <w:p>
            <w:pPr>
              <w:jc w:val="left"/>
              <w:rPr>
                <w:rFonts w:ascii="Times New Roman" w:hAnsi="Times New Roman" w:eastAsia="仿宋_GB2312"/>
                <w:color w:val="000000"/>
                <w:sz w:val="18"/>
                <w:szCs w:val="18"/>
              </w:rPr>
            </w:pPr>
            <w:r>
              <w:rPr>
                <w:rFonts w:hint="eastAsia" w:eastAsia="仿宋" w:cs="仿宋"/>
                <w:sz w:val="18"/>
                <w:szCs w:val="18"/>
              </w:rPr>
              <w:t>纪念广场设计工程验收合格率</w:t>
            </w:r>
          </w:p>
        </w:tc>
        <w:tc>
          <w:tcPr>
            <w:tcW w:w="1140"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95%</w:t>
            </w:r>
          </w:p>
        </w:tc>
        <w:tc>
          <w:tcPr>
            <w:tcW w:w="1140"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95%</w:t>
            </w:r>
          </w:p>
        </w:tc>
        <w:tc>
          <w:tcPr>
            <w:tcW w:w="832" w:type="dxa"/>
            <w:noWrap w:val="0"/>
            <w:vAlign w:val="center"/>
          </w:tcPr>
          <w:p>
            <w:pPr>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3</w:t>
            </w:r>
          </w:p>
        </w:tc>
        <w:tc>
          <w:tcPr>
            <w:tcW w:w="877" w:type="dxa"/>
            <w:noWrap w:val="0"/>
            <w:vAlign w:val="center"/>
          </w:tcPr>
          <w:p>
            <w:pPr>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3</w:t>
            </w:r>
          </w:p>
        </w:tc>
        <w:tc>
          <w:tcPr>
            <w:tcW w:w="1146"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ascii="Times New Roman" w:hAnsi="Times New Roman" w:eastAsia="仿宋_GB2312"/>
                <w:color w:val="000000"/>
                <w:sz w:val="18"/>
                <w:szCs w:val="18"/>
              </w:rPr>
            </w:pPr>
          </w:p>
        </w:tc>
        <w:tc>
          <w:tcPr>
            <w:tcW w:w="1085" w:type="dxa"/>
            <w:vMerge w:val="continue"/>
            <w:noWrap w:val="0"/>
            <w:vAlign w:val="center"/>
          </w:tcPr>
          <w:p>
            <w:pPr>
              <w:jc w:val="center"/>
              <w:rPr>
                <w:rFonts w:ascii="Times New Roman" w:hAnsi="Times New Roman" w:eastAsia="仿宋_GB2312"/>
                <w:color w:val="000000"/>
                <w:sz w:val="18"/>
                <w:szCs w:val="18"/>
              </w:rPr>
            </w:pPr>
          </w:p>
        </w:tc>
        <w:tc>
          <w:tcPr>
            <w:tcW w:w="1085" w:type="dxa"/>
            <w:vMerge w:val="continue"/>
            <w:noWrap w:val="0"/>
            <w:vAlign w:val="center"/>
          </w:tcPr>
          <w:p>
            <w:pPr>
              <w:jc w:val="center"/>
              <w:rPr>
                <w:rFonts w:ascii="Times New Roman" w:hAnsi="Times New Roman" w:eastAsia="仿宋_GB2312"/>
                <w:color w:val="000000"/>
                <w:sz w:val="18"/>
                <w:szCs w:val="18"/>
              </w:rPr>
            </w:pPr>
          </w:p>
        </w:tc>
        <w:tc>
          <w:tcPr>
            <w:tcW w:w="1230" w:type="dxa"/>
            <w:noWrap w:val="0"/>
            <w:vAlign w:val="center"/>
          </w:tcPr>
          <w:p>
            <w:pPr>
              <w:jc w:val="center"/>
              <w:rPr>
                <w:rFonts w:ascii="Times New Roman" w:hAnsi="Times New Roman" w:eastAsia="仿宋_GB2312"/>
                <w:color w:val="000000"/>
                <w:sz w:val="18"/>
                <w:szCs w:val="18"/>
              </w:rPr>
            </w:pPr>
            <w:r>
              <w:rPr>
                <w:rFonts w:hint="eastAsia" w:eastAsia="仿宋" w:cs="仿宋"/>
                <w:sz w:val="18"/>
                <w:szCs w:val="18"/>
              </w:rPr>
              <w:t>道路导向牌制作安装验收合格率率</w:t>
            </w:r>
          </w:p>
        </w:tc>
        <w:tc>
          <w:tcPr>
            <w:tcW w:w="1140"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95%</w:t>
            </w:r>
          </w:p>
        </w:tc>
        <w:tc>
          <w:tcPr>
            <w:tcW w:w="1140"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95%</w:t>
            </w:r>
          </w:p>
        </w:tc>
        <w:tc>
          <w:tcPr>
            <w:tcW w:w="832" w:type="dxa"/>
            <w:noWrap w:val="0"/>
            <w:vAlign w:val="center"/>
          </w:tcPr>
          <w:p>
            <w:pPr>
              <w:jc w:val="center"/>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3</w:t>
            </w:r>
          </w:p>
        </w:tc>
        <w:tc>
          <w:tcPr>
            <w:tcW w:w="877" w:type="dxa"/>
            <w:noWrap w:val="0"/>
            <w:vAlign w:val="center"/>
          </w:tcPr>
          <w:p>
            <w:pPr>
              <w:jc w:val="center"/>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3</w:t>
            </w:r>
          </w:p>
        </w:tc>
        <w:tc>
          <w:tcPr>
            <w:tcW w:w="1146" w:type="dxa"/>
            <w:noWrap w:val="0"/>
            <w:vAlign w:val="center"/>
          </w:tcPr>
          <w:p>
            <w:pPr>
              <w:jc w:val="left"/>
              <w:rPr>
                <w:rFonts w:ascii="Times New Roman" w:hAnsi="Times New Roman"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ascii="Times New Roman" w:hAnsi="Times New Roman" w:eastAsia="仿宋_GB2312"/>
                <w:color w:val="000000"/>
                <w:sz w:val="18"/>
                <w:szCs w:val="18"/>
              </w:rPr>
            </w:pPr>
          </w:p>
        </w:tc>
        <w:tc>
          <w:tcPr>
            <w:tcW w:w="1085" w:type="dxa"/>
            <w:vMerge w:val="continue"/>
            <w:noWrap w:val="0"/>
            <w:vAlign w:val="center"/>
          </w:tcPr>
          <w:p>
            <w:pPr>
              <w:jc w:val="center"/>
              <w:rPr>
                <w:rFonts w:ascii="Times New Roman" w:hAnsi="Times New Roman" w:eastAsia="仿宋_GB2312"/>
                <w:color w:val="000000"/>
                <w:sz w:val="18"/>
                <w:szCs w:val="18"/>
              </w:rPr>
            </w:pPr>
          </w:p>
        </w:tc>
        <w:tc>
          <w:tcPr>
            <w:tcW w:w="1085" w:type="dxa"/>
            <w:vMerge w:val="continue"/>
            <w:noWrap w:val="0"/>
            <w:vAlign w:val="center"/>
          </w:tcPr>
          <w:p>
            <w:pPr>
              <w:jc w:val="center"/>
              <w:rPr>
                <w:rFonts w:ascii="Times New Roman" w:hAnsi="Times New Roman" w:eastAsia="仿宋_GB2312"/>
                <w:color w:val="000000"/>
                <w:sz w:val="18"/>
                <w:szCs w:val="18"/>
              </w:rPr>
            </w:pPr>
          </w:p>
        </w:tc>
        <w:tc>
          <w:tcPr>
            <w:tcW w:w="1230" w:type="dxa"/>
            <w:noWrap w:val="0"/>
            <w:vAlign w:val="center"/>
          </w:tcPr>
          <w:p>
            <w:pPr>
              <w:jc w:val="left"/>
              <w:rPr>
                <w:rFonts w:ascii="Times New Roman" w:hAnsi="Times New Roman" w:eastAsia="仿宋_GB2312"/>
                <w:color w:val="000000"/>
                <w:sz w:val="18"/>
                <w:szCs w:val="18"/>
              </w:rPr>
            </w:pPr>
            <w:r>
              <w:rPr>
                <w:rFonts w:hint="eastAsia" w:eastAsia="仿宋" w:cs="仿宋"/>
                <w:sz w:val="18"/>
                <w:szCs w:val="18"/>
              </w:rPr>
              <w:t>游客服务中心升级改造验收合格率</w:t>
            </w:r>
          </w:p>
        </w:tc>
        <w:tc>
          <w:tcPr>
            <w:tcW w:w="1140"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95%</w:t>
            </w:r>
          </w:p>
        </w:tc>
        <w:tc>
          <w:tcPr>
            <w:tcW w:w="1140"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95%</w:t>
            </w:r>
          </w:p>
        </w:tc>
        <w:tc>
          <w:tcPr>
            <w:tcW w:w="832" w:type="dxa"/>
            <w:noWrap w:val="0"/>
            <w:vAlign w:val="center"/>
          </w:tcPr>
          <w:p>
            <w:pPr>
              <w:jc w:val="center"/>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3</w:t>
            </w:r>
          </w:p>
        </w:tc>
        <w:tc>
          <w:tcPr>
            <w:tcW w:w="877" w:type="dxa"/>
            <w:noWrap w:val="0"/>
            <w:vAlign w:val="center"/>
          </w:tcPr>
          <w:p>
            <w:pPr>
              <w:jc w:val="center"/>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3</w:t>
            </w:r>
          </w:p>
        </w:tc>
        <w:tc>
          <w:tcPr>
            <w:tcW w:w="1146" w:type="dxa"/>
            <w:noWrap w:val="0"/>
            <w:vAlign w:val="center"/>
          </w:tcPr>
          <w:p>
            <w:pPr>
              <w:jc w:val="left"/>
              <w:rPr>
                <w:rFonts w:ascii="Times New Roman" w:hAnsi="Times New Roman"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ascii="Times New Roman" w:hAnsi="Times New Roman" w:eastAsia="仿宋_GB2312"/>
                <w:color w:val="000000"/>
                <w:sz w:val="18"/>
                <w:szCs w:val="18"/>
              </w:rPr>
            </w:pPr>
          </w:p>
        </w:tc>
        <w:tc>
          <w:tcPr>
            <w:tcW w:w="1085" w:type="dxa"/>
            <w:vMerge w:val="continue"/>
            <w:noWrap w:val="0"/>
            <w:vAlign w:val="center"/>
          </w:tcPr>
          <w:p>
            <w:pPr>
              <w:jc w:val="center"/>
              <w:rPr>
                <w:rFonts w:ascii="Times New Roman" w:hAnsi="Times New Roman" w:eastAsia="仿宋_GB2312"/>
                <w:color w:val="000000"/>
                <w:sz w:val="18"/>
                <w:szCs w:val="18"/>
              </w:rPr>
            </w:pPr>
          </w:p>
        </w:tc>
        <w:tc>
          <w:tcPr>
            <w:tcW w:w="1085" w:type="dxa"/>
            <w:vMerge w:val="continue"/>
            <w:noWrap w:val="0"/>
            <w:vAlign w:val="center"/>
          </w:tcPr>
          <w:p>
            <w:pPr>
              <w:jc w:val="center"/>
              <w:rPr>
                <w:rFonts w:ascii="Times New Roman" w:hAnsi="Times New Roman" w:eastAsia="仿宋_GB2312"/>
                <w:color w:val="000000"/>
                <w:sz w:val="18"/>
                <w:szCs w:val="18"/>
              </w:rPr>
            </w:pPr>
          </w:p>
        </w:tc>
        <w:tc>
          <w:tcPr>
            <w:tcW w:w="1230" w:type="dxa"/>
            <w:noWrap w:val="0"/>
            <w:vAlign w:val="center"/>
          </w:tcPr>
          <w:p>
            <w:pPr>
              <w:jc w:val="left"/>
              <w:rPr>
                <w:rFonts w:ascii="Times New Roman" w:hAnsi="Times New Roman" w:eastAsia="仿宋_GB2312"/>
                <w:color w:val="000000"/>
                <w:sz w:val="18"/>
                <w:szCs w:val="18"/>
              </w:rPr>
            </w:pPr>
            <w:r>
              <w:rPr>
                <w:rFonts w:hint="eastAsia" w:eastAsia="仿宋" w:cs="仿宋"/>
                <w:sz w:val="18"/>
                <w:szCs w:val="18"/>
              </w:rPr>
              <w:t>夏明震烈士纪念碑周围环境整治验收合格率</w:t>
            </w:r>
          </w:p>
        </w:tc>
        <w:tc>
          <w:tcPr>
            <w:tcW w:w="1140"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95%</w:t>
            </w:r>
          </w:p>
        </w:tc>
        <w:tc>
          <w:tcPr>
            <w:tcW w:w="1140"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95%</w:t>
            </w:r>
          </w:p>
        </w:tc>
        <w:tc>
          <w:tcPr>
            <w:tcW w:w="832" w:type="dxa"/>
            <w:noWrap w:val="0"/>
            <w:vAlign w:val="center"/>
          </w:tcPr>
          <w:p>
            <w:pPr>
              <w:jc w:val="center"/>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3</w:t>
            </w:r>
          </w:p>
        </w:tc>
        <w:tc>
          <w:tcPr>
            <w:tcW w:w="877" w:type="dxa"/>
            <w:noWrap w:val="0"/>
            <w:vAlign w:val="center"/>
          </w:tcPr>
          <w:p>
            <w:pPr>
              <w:jc w:val="center"/>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3</w:t>
            </w:r>
          </w:p>
        </w:tc>
        <w:tc>
          <w:tcPr>
            <w:tcW w:w="1146" w:type="dxa"/>
            <w:noWrap w:val="0"/>
            <w:vAlign w:val="center"/>
          </w:tcPr>
          <w:p>
            <w:pPr>
              <w:jc w:val="left"/>
              <w:rPr>
                <w:rFonts w:ascii="Times New Roman" w:hAnsi="Times New Roman"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ascii="Times New Roman" w:hAnsi="Times New Roman" w:eastAsia="仿宋_GB2312"/>
                <w:color w:val="000000"/>
                <w:sz w:val="18"/>
                <w:szCs w:val="18"/>
              </w:rPr>
            </w:pPr>
          </w:p>
        </w:tc>
        <w:tc>
          <w:tcPr>
            <w:tcW w:w="1085" w:type="dxa"/>
            <w:vMerge w:val="continue"/>
            <w:noWrap w:val="0"/>
            <w:vAlign w:val="center"/>
          </w:tcPr>
          <w:p>
            <w:pPr>
              <w:jc w:val="center"/>
              <w:rPr>
                <w:rFonts w:ascii="Times New Roman" w:hAnsi="Times New Roman" w:eastAsia="仿宋_GB2312"/>
                <w:color w:val="000000"/>
                <w:sz w:val="18"/>
                <w:szCs w:val="18"/>
              </w:rPr>
            </w:pPr>
          </w:p>
        </w:tc>
        <w:tc>
          <w:tcPr>
            <w:tcW w:w="1085" w:type="dxa"/>
            <w:vMerge w:val="restart"/>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时效指标</w:t>
            </w:r>
          </w:p>
        </w:tc>
        <w:tc>
          <w:tcPr>
            <w:tcW w:w="1230" w:type="dxa"/>
            <w:noWrap w:val="0"/>
            <w:vAlign w:val="center"/>
          </w:tcPr>
          <w:p>
            <w:pPr>
              <w:jc w:val="left"/>
              <w:rPr>
                <w:rFonts w:ascii="Times New Roman" w:hAnsi="Times New Roman" w:eastAsia="仿宋_GB2312"/>
                <w:color w:val="000000"/>
                <w:sz w:val="18"/>
                <w:szCs w:val="18"/>
              </w:rPr>
            </w:pPr>
            <w:r>
              <w:rPr>
                <w:rFonts w:hint="eastAsia" w:eastAsia="仿宋" w:cs="仿宋"/>
                <w:sz w:val="18"/>
                <w:szCs w:val="18"/>
              </w:rPr>
              <w:t>纪念广场设计工程完工及时率</w:t>
            </w:r>
          </w:p>
        </w:tc>
        <w:tc>
          <w:tcPr>
            <w:tcW w:w="1140"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90%</w:t>
            </w:r>
          </w:p>
        </w:tc>
        <w:tc>
          <w:tcPr>
            <w:tcW w:w="1140"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90%</w:t>
            </w:r>
          </w:p>
        </w:tc>
        <w:tc>
          <w:tcPr>
            <w:tcW w:w="832" w:type="dxa"/>
            <w:noWrap w:val="0"/>
            <w:vAlign w:val="center"/>
          </w:tcPr>
          <w:p>
            <w:pPr>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3</w:t>
            </w:r>
          </w:p>
        </w:tc>
        <w:tc>
          <w:tcPr>
            <w:tcW w:w="877" w:type="dxa"/>
            <w:noWrap w:val="0"/>
            <w:vAlign w:val="center"/>
          </w:tcPr>
          <w:p>
            <w:pPr>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3</w:t>
            </w:r>
          </w:p>
        </w:tc>
        <w:tc>
          <w:tcPr>
            <w:tcW w:w="1146"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ascii="Times New Roman" w:hAnsi="Times New Roman" w:eastAsia="仿宋_GB2312"/>
                <w:color w:val="000000"/>
                <w:sz w:val="18"/>
                <w:szCs w:val="18"/>
              </w:rPr>
            </w:pPr>
          </w:p>
        </w:tc>
        <w:tc>
          <w:tcPr>
            <w:tcW w:w="1085" w:type="dxa"/>
            <w:vMerge w:val="continue"/>
            <w:noWrap w:val="0"/>
            <w:vAlign w:val="center"/>
          </w:tcPr>
          <w:p>
            <w:pPr>
              <w:jc w:val="center"/>
              <w:rPr>
                <w:rFonts w:ascii="Times New Roman" w:hAnsi="Times New Roman" w:eastAsia="仿宋_GB2312"/>
                <w:color w:val="000000"/>
                <w:sz w:val="18"/>
                <w:szCs w:val="18"/>
              </w:rPr>
            </w:pPr>
          </w:p>
        </w:tc>
        <w:tc>
          <w:tcPr>
            <w:tcW w:w="1085" w:type="dxa"/>
            <w:vMerge w:val="continue"/>
            <w:noWrap w:val="0"/>
            <w:vAlign w:val="center"/>
          </w:tcPr>
          <w:p>
            <w:pPr>
              <w:jc w:val="center"/>
              <w:rPr>
                <w:rFonts w:ascii="Times New Roman" w:hAnsi="Times New Roman" w:eastAsia="仿宋_GB2312"/>
                <w:color w:val="000000"/>
                <w:sz w:val="18"/>
                <w:szCs w:val="18"/>
              </w:rPr>
            </w:pPr>
          </w:p>
        </w:tc>
        <w:tc>
          <w:tcPr>
            <w:tcW w:w="1230" w:type="dxa"/>
            <w:noWrap w:val="0"/>
            <w:vAlign w:val="center"/>
          </w:tcPr>
          <w:p>
            <w:pPr>
              <w:jc w:val="left"/>
              <w:rPr>
                <w:rFonts w:ascii="Times New Roman" w:hAnsi="Times New Roman" w:eastAsia="仿宋_GB2312"/>
                <w:color w:val="000000"/>
                <w:sz w:val="18"/>
                <w:szCs w:val="18"/>
              </w:rPr>
            </w:pPr>
            <w:r>
              <w:rPr>
                <w:rFonts w:hint="eastAsia" w:eastAsia="仿宋" w:cs="仿宋"/>
                <w:sz w:val="18"/>
                <w:szCs w:val="18"/>
              </w:rPr>
              <w:t>道路导向牌制作安装完工及时率</w:t>
            </w:r>
          </w:p>
        </w:tc>
        <w:tc>
          <w:tcPr>
            <w:tcW w:w="1140"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90%</w:t>
            </w:r>
          </w:p>
        </w:tc>
        <w:tc>
          <w:tcPr>
            <w:tcW w:w="1140"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90%</w:t>
            </w:r>
          </w:p>
        </w:tc>
        <w:tc>
          <w:tcPr>
            <w:tcW w:w="832" w:type="dxa"/>
            <w:noWrap w:val="0"/>
            <w:vAlign w:val="center"/>
          </w:tcPr>
          <w:p>
            <w:pPr>
              <w:jc w:val="center"/>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3</w:t>
            </w:r>
          </w:p>
        </w:tc>
        <w:tc>
          <w:tcPr>
            <w:tcW w:w="877" w:type="dxa"/>
            <w:noWrap w:val="0"/>
            <w:vAlign w:val="center"/>
          </w:tcPr>
          <w:p>
            <w:pPr>
              <w:jc w:val="center"/>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3</w:t>
            </w:r>
          </w:p>
        </w:tc>
        <w:tc>
          <w:tcPr>
            <w:tcW w:w="1146" w:type="dxa"/>
            <w:noWrap w:val="0"/>
            <w:vAlign w:val="center"/>
          </w:tcPr>
          <w:p>
            <w:pPr>
              <w:jc w:val="left"/>
              <w:rPr>
                <w:rFonts w:ascii="Times New Roman" w:hAnsi="Times New Roman"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ascii="Times New Roman" w:hAnsi="Times New Roman" w:eastAsia="仿宋_GB2312"/>
                <w:color w:val="000000"/>
                <w:sz w:val="18"/>
                <w:szCs w:val="18"/>
              </w:rPr>
            </w:pPr>
          </w:p>
        </w:tc>
        <w:tc>
          <w:tcPr>
            <w:tcW w:w="1085" w:type="dxa"/>
            <w:vMerge w:val="continue"/>
            <w:noWrap w:val="0"/>
            <w:vAlign w:val="center"/>
          </w:tcPr>
          <w:p>
            <w:pPr>
              <w:jc w:val="center"/>
              <w:rPr>
                <w:rFonts w:ascii="Times New Roman" w:hAnsi="Times New Roman" w:eastAsia="仿宋_GB2312"/>
                <w:color w:val="000000"/>
                <w:sz w:val="18"/>
                <w:szCs w:val="18"/>
              </w:rPr>
            </w:pPr>
          </w:p>
        </w:tc>
        <w:tc>
          <w:tcPr>
            <w:tcW w:w="1085" w:type="dxa"/>
            <w:vMerge w:val="continue"/>
            <w:noWrap w:val="0"/>
            <w:vAlign w:val="center"/>
          </w:tcPr>
          <w:p>
            <w:pPr>
              <w:jc w:val="center"/>
              <w:rPr>
                <w:rFonts w:ascii="Times New Roman" w:hAnsi="Times New Roman" w:eastAsia="仿宋_GB2312"/>
                <w:color w:val="000000"/>
                <w:sz w:val="18"/>
                <w:szCs w:val="18"/>
              </w:rPr>
            </w:pPr>
          </w:p>
        </w:tc>
        <w:tc>
          <w:tcPr>
            <w:tcW w:w="1230" w:type="dxa"/>
            <w:noWrap w:val="0"/>
            <w:vAlign w:val="center"/>
          </w:tcPr>
          <w:p>
            <w:pPr>
              <w:jc w:val="left"/>
              <w:rPr>
                <w:rFonts w:ascii="Times New Roman" w:hAnsi="Times New Roman" w:eastAsia="仿宋_GB2312"/>
                <w:color w:val="000000"/>
                <w:sz w:val="18"/>
                <w:szCs w:val="18"/>
              </w:rPr>
            </w:pPr>
            <w:r>
              <w:rPr>
                <w:rFonts w:hint="eastAsia" w:eastAsia="仿宋" w:cs="仿宋"/>
                <w:sz w:val="18"/>
                <w:szCs w:val="18"/>
              </w:rPr>
              <w:t>游客服务中心升级改造完工及时率</w:t>
            </w:r>
          </w:p>
        </w:tc>
        <w:tc>
          <w:tcPr>
            <w:tcW w:w="1140"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90%</w:t>
            </w:r>
          </w:p>
        </w:tc>
        <w:tc>
          <w:tcPr>
            <w:tcW w:w="1140"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90%</w:t>
            </w:r>
          </w:p>
        </w:tc>
        <w:tc>
          <w:tcPr>
            <w:tcW w:w="832" w:type="dxa"/>
            <w:noWrap w:val="0"/>
            <w:vAlign w:val="center"/>
          </w:tcPr>
          <w:p>
            <w:pPr>
              <w:jc w:val="center"/>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3</w:t>
            </w:r>
          </w:p>
        </w:tc>
        <w:tc>
          <w:tcPr>
            <w:tcW w:w="877" w:type="dxa"/>
            <w:noWrap w:val="0"/>
            <w:vAlign w:val="center"/>
          </w:tcPr>
          <w:p>
            <w:pPr>
              <w:jc w:val="center"/>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2</w:t>
            </w:r>
          </w:p>
        </w:tc>
        <w:tc>
          <w:tcPr>
            <w:tcW w:w="1146"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疫情影响导致工期滞后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ascii="Times New Roman" w:hAnsi="Times New Roman" w:eastAsia="仿宋_GB2312"/>
                <w:color w:val="000000"/>
                <w:sz w:val="18"/>
                <w:szCs w:val="18"/>
              </w:rPr>
            </w:pPr>
          </w:p>
        </w:tc>
        <w:tc>
          <w:tcPr>
            <w:tcW w:w="1085" w:type="dxa"/>
            <w:vMerge w:val="continue"/>
            <w:noWrap w:val="0"/>
            <w:vAlign w:val="center"/>
          </w:tcPr>
          <w:p>
            <w:pPr>
              <w:jc w:val="center"/>
              <w:rPr>
                <w:rFonts w:ascii="Times New Roman" w:hAnsi="Times New Roman" w:eastAsia="仿宋_GB2312"/>
                <w:color w:val="000000"/>
                <w:sz w:val="18"/>
                <w:szCs w:val="18"/>
              </w:rPr>
            </w:pPr>
          </w:p>
        </w:tc>
        <w:tc>
          <w:tcPr>
            <w:tcW w:w="1085" w:type="dxa"/>
            <w:vMerge w:val="continue"/>
            <w:noWrap w:val="0"/>
            <w:vAlign w:val="center"/>
          </w:tcPr>
          <w:p>
            <w:pPr>
              <w:jc w:val="center"/>
              <w:rPr>
                <w:rFonts w:ascii="Times New Roman" w:hAnsi="Times New Roman" w:eastAsia="仿宋_GB2312"/>
                <w:color w:val="000000"/>
                <w:sz w:val="18"/>
                <w:szCs w:val="18"/>
              </w:rPr>
            </w:pPr>
          </w:p>
        </w:tc>
        <w:tc>
          <w:tcPr>
            <w:tcW w:w="1230" w:type="dxa"/>
            <w:noWrap w:val="0"/>
            <w:vAlign w:val="center"/>
          </w:tcPr>
          <w:p>
            <w:pPr>
              <w:jc w:val="left"/>
              <w:rPr>
                <w:rFonts w:ascii="Times New Roman" w:hAnsi="Times New Roman" w:eastAsia="仿宋_GB2312"/>
                <w:color w:val="000000"/>
                <w:sz w:val="18"/>
                <w:szCs w:val="18"/>
              </w:rPr>
            </w:pPr>
            <w:r>
              <w:rPr>
                <w:rFonts w:hint="eastAsia" w:eastAsia="仿宋" w:cs="仿宋"/>
                <w:sz w:val="18"/>
                <w:szCs w:val="18"/>
              </w:rPr>
              <w:t>夏明震烈士纪念碑周围环境整治完工及时率</w:t>
            </w:r>
          </w:p>
        </w:tc>
        <w:tc>
          <w:tcPr>
            <w:tcW w:w="1140"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90%</w:t>
            </w:r>
          </w:p>
        </w:tc>
        <w:tc>
          <w:tcPr>
            <w:tcW w:w="1140"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90%</w:t>
            </w:r>
          </w:p>
        </w:tc>
        <w:tc>
          <w:tcPr>
            <w:tcW w:w="832" w:type="dxa"/>
            <w:noWrap w:val="0"/>
            <w:vAlign w:val="center"/>
          </w:tcPr>
          <w:p>
            <w:pPr>
              <w:jc w:val="center"/>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3</w:t>
            </w:r>
          </w:p>
        </w:tc>
        <w:tc>
          <w:tcPr>
            <w:tcW w:w="877" w:type="dxa"/>
            <w:noWrap w:val="0"/>
            <w:vAlign w:val="center"/>
          </w:tcPr>
          <w:p>
            <w:pPr>
              <w:jc w:val="center"/>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3</w:t>
            </w:r>
          </w:p>
        </w:tc>
        <w:tc>
          <w:tcPr>
            <w:tcW w:w="1146" w:type="dxa"/>
            <w:noWrap w:val="0"/>
            <w:vAlign w:val="center"/>
          </w:tcPr>
          <w:p>
            <w:pPr>
              <w:jc w:val="left"/>
              <w:rPr>
                <w:rFonts w:ascii="Times New Roman" w:hAnsi="Times New Roman"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ascii="Times New Roman" w:hAnsi="Times New Roman" w:eastAsia="仿宋_GB2312"/>
                <w:color w:val="000000"/>
                <w:sz w:val="18"/>
                <w:szCs w:val="18"/>
              </w:rPr>
            </w:pPr>
          </w:p>
        </w:tc>
        <w:tc>
          <w:tcPr>
            <w:tcW w:w="1085" w:type="dxa"/>
            <w:vMerge w:val="continue"/>
            <w:noWrap w:val="0"/>
            <w:vAlign w:val="center"/>
          </w:tcPr>
          <w:p>
            <w:pPr>
              <w:jc w:val="center"/>
              <w:rPr>
                <w:rFonts w:ascii="Times New Roman" w:hAnsi="Times New Roman" w:eastAsia="仿宋_GB2312"/>
                <w:color w:val="000000"/>
                <w:sz w:val="18"/>
                <w:szCs w:val="18"/>
              </w:rPr>
            </w:pPr>
          </w:p>
        </w:tc>
        <w:tc>
          <w:tcPr>
            <w:tcW w:w="1085"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成本指标</w:t>
            </w:r>
          </w:p>
        </w:tc>
        <w:tc>
          <w:tcPr>
            <w:tcW w:w="1230" w:type="dxa"/>
            <w:noWrap w:val="0"/>
            <w:vAlign w:val="center"/>
          </w:tcPr>
          <w:p>
            <w:pPr>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严格控制项预算费用使用情况</w:t>
            </w:r>
          </w:p>
        </w:tc>
        <w:tc>
          <w:tcPr>
            <w:tcW w:w="1140"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89.2万元</w:t>
            </w:r>
          </w:p>
        </w:tc>
        <w:tc>
          <w:tcPr>
            <w:tcW w:w="1140"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89.2万元</w:t>
            </w:r>
          </w:p>
        </w:tc>
        <w:tc>
          <w:tcPr>
            <w:tcW w:w="832" w:type="dxa"/>
            <w:noWrap w:val="0"/>
            <w:vAlign w:val="center"/>
          </w:tcPr>
          <w:p>
            <w:pPr>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14</w:t>
            </w:r>
          </w:p>
        </w:tc>
        <w:tc>
          <w:tcPr>
            <w:tcW w:w="877" w:type="dxa"/>
            <w:noWrap w:val="0"/>
            <w:vAlign w:val="center"/>
          </w:tcPr>
          <w:p>
            <w:pPr>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14</w:t>
            </w:r>
          </w:p>
        </w:tc>
        <w:tc>
          <w:tcPr>
            <w:tcW w:w="1146"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ascii="Times New Roman" w:hAnsi="Times New Roman" w:eastAsia="仿宋_GB2312"/>
                <w:color w:val="000000"/>
                <w:sz w:val="18"/>
                <w:szCs w:val="18"/>
              </w:rPr>
            </w:pPr>
          </w:p>
        </w:tc>
        <w:tc>
          <w:tcPr>
            <w:tcW w:w="1085" w:type="dxa"/>
            <w:vMerge w:val="restart"/>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效益指标</w:t>
            </w:r>
          </w:p>
          <w:p>
            <w:pPr>
              <w:jc w:val="center"/>
              <w:rPr>
                <w:rFonts w:ascii="Times New Roman" w:hAnsi="Times New Roman" w:eastAsia="仿宋_GB2312"/>
                <w:color w:val="000000"/>
                <w:sz w:val="18"/>
                <w:szCs w:val="18"/>
              </w:rPr>
            </w:pPr>
          </w:p>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（30分）</w:t>
            </w:r>
          </w:p>
          <w:p>
            <w:pPr>
              <w:jc w:val="center"/>
              <w:rPr>
                <w:rFonts w:ascii="Times New Roman" w:hAnsi="Times New Roman" w:eastAsia="仿宋_GB2312"/>
                <w:color w:val="000000"/>
                <w:sz w:val="18"/>
                <w:szCs w:val="18"/>
              </w:rPr>
            </w:pPr>
          </w:p>
        </w:tc>
        <w:tc>
          <w:tcPr>
            <w:tcW w:w="1085"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经济效</w:t>
            </w:r>
          </w:p>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益指标</w:t>
            </w:r>
          </w:p>
        </w:tc>
        <w:tc>
          <w:tcPr>
            <w:tcW w:w="1230" w:type="dxa"/>
            <w:noWrap w:val="0"/>
            <w:vAlign w:val="center"/>
          </w:tcPr>
          <w:p>
            <w:pPr>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不适用</w:t>
            </w:r>
          </w:p>
        </w:tc>
        <w:tc>
          <w:tcPr>
            <w:tcW w:w="1140"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w:t>
            </w:r>
            <w:r>
              <w:rPr>
                <w:rFonts w:ascii="Times New Roman" w:hAnsi="Times New Roman" w:eastAsia="仿宋_GB2312"/>
                <w:color w:val="000000"/>
                <w:sz w:val="18"/>
                <w:szCs w:val="18"/>
              </w:rPr>
              <w:t>　</w:t>
            </w:r>
          </w:p>
        </w:tc>
        <w:tc>
          <w:tcPr>
            <w:tcW w:w="1140"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w:t>
            </w:r>
          </w:p>
        </w:tc>
        <w:tc>
          <w:tcPr>
            <w:tcW w:w="832" w:type="dxa"/>
            <w:noWrap w:val="0"/>
            <w:vAlign w:val="center"/>
          </w:tcPr>
          <w:p>
            <w:pPr>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w:t>
            </w:r>
          </w:p>
        </w:tc>
        <w:tc>
          <w:tcPr>
            <w:tcW w:w="877" w:type="dxa"/>
            <w:noWrap w:val="0"/>
            <w:vAlign w:val="center"/>
          </w:tcPr>
          <w:p>
            <w:pPr>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w:t>
            </w:r>
          </w:p>
        </w:tc>
        <w:tc>
          <w:tcPr>
            <w:tcW w:w="1146"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921" w:type="dxa"/>
            <w:vMerge w:val="continue"/>
            <w:noWrap w:val="0"/>
            <w:vAlign w:val="center"/>
          </w:tcPr>
          <w:p>
            <w:pPr>
              <w:jc w:val="left"/>
              <w:rPr>
                <w:rFonts w:ascii="Times New Roman" w:hAnsi="Times New Roman" w:eastAsia="仿宋_GB2312"/>
                <w:color w:val="000000"/>
                <w:sz w:val="18"/>
                <w:szCs w:val="18"/>
              </w:rPr>
            </w:pPr>
          </w:p>
        </w:tc>
        <w:tc>
          <w:tcPr>
            <w:tcW w:w="1085" w:type="dxa"/>
            <w:vMerge w:val="continue"/>
            <w:noWrap w:val="0"/>
            <w:vAlign w:val="center"/>
          </w:tcPr>
          <w:p>
            <w:pPr>
              <w:jc w:val="left"/>
              <w:rPr>
                <w:rFonts w:ascii="Times New Roman" w:hAnsi="Times New Roman" w:eastAsia="仿宋_GB2312"/>
                <w:color w:val="000000"/>
                <w:sz w:val="18"/>
                <w:szCs w:val="18"/>
              </w:rPr>
            </w:pPr>
          </w:p>
        </w:tc>
        <w:tc>
          <w:tcPr>
            <w:tcW w:w="1085"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社会效</w:t>
            </w:r>
          </w:p>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益指标</w:t>
            </w:r>
          </w:p>
        </w:tc>
        <w:tc>
          <w:tcPr>
            <w:tcW w:w="1230" w:type="dxa"/>
            <w:noWrap w:val="0"/>
            <w:vAlign w:val="center"/>
          </w:tcPr>
          <w:p>
            <w:pPr>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改善纪念园红色旅游环境</w:t>
            </w:r>
          </w:p>
        </w:tc>
        <w:tc>
          <w:tcPr>
            <w:tcW w:w="1140" w:type="dxa"/>
            <w:noWrap w:val="0"/>
            <w:vAlign w:val="center"/>
          </w:tcPr>
          <w:p>
            <w:pPr>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改善</w:t>
            </w:r>
          </w:p>
        </w:tc>
        <w:tc>
          <w:tcPr>
            <w:tcW w:w="1140"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有效改善环境</w:t>
            </w:r>
          </w:p>
        </w:tc>
        <w:tc>
          <w:tcPr>
            <w:tcW w:w="832" w:type="dxa"/>
            <w:noWrap w:val="0"/>
            <w:vAlign w:val="center"/>
          </w:tcPr>
          <w:p>
            <w:pPr>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15</w:t>
            </w:r>
          </w:p>
        </w:tc>
        <w:tc>
          <w:tcPr>
            <w:tcW w:w="877" w:type="dxa"/>
            <w:noWrap w:val="0"/>
            <w:vAlign w:val="center"/>
          </w:tcPr>
          <w:p>
            <w:pPr>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13</w:t>
            </w:r>
          </w:p>
        </w:tc>
        <w:tc>
          <w:tcPr>
            <w:tcW w:w="1146"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eastAsia="仿宋" w:cs="仿宋"/>
                <w:bCs/>
                <w:color w:val="000000"/>
                <w:sz w:val="18"/>
                <w:szCs w:val="18"/>
              </w:rPr>
              <w:t>在此项工作中，还有很多地方有待进步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ascii="Times New Roman" w:hAnsi="Times New Roman" w:eastAsia="仿宋_GB2312"/>
                <w:color w:val="000000"/>
                <w:sz w:val="18"/>
                <w:szCs w:val="18"/>
              </w:rPr>
            </w:pPr>
          </w:p>
        </w:tc>
        <w:tc>
          <w:tcPr>
            <w:tcW w:w="1085" w:type="dxa"/>
            <w:vMerge w:val="continue"/>
            <w:noWrap w:val="0"/>
            <w:vAlign w:val="center"/>
          </w:tcPr>
          <w:p>
            <w:pPr>
              <w:jc w:val="left"/>
              <w:rPr>
                <w:rFonts w:ascii="Times New Roman" w:hAnsi="Times New Roman" w:eastAsia="仿宋_GB2312"/>
                <w:color w:val="000000"/>
                <w:sz w:val="18"/>
                <w:szCs w:val="18"/>
              </w:rPr>
            </w:pPr>
          </w:p>
        </w:tc>
        <w:tc>
          <w:tcPr>
            <w:tcW w:w="1085"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生态效</w:t>
            </w:r>
          </w:p>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益指标</w:t>
            </w:r>
          </w:p>
        </w:tc>
        <w:tc>
          <w:tcPr>
            <w:tcW w:w="1230" w:type="dxa"/>
            <w:noWrap w:val="0"/>
            <w:vAlign w:val="center"/>
          </w:tcPr>
          <w:p>
            <w:pPr>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不适用</w:t>
            </w:r>
          </w:p>
        </w:tc>
        <w:tc>
          <w:tcPr>
            <w:tcW w:w="1140"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w:t>
            </w:r>
          </w:p>
        </w:tc>
        <w:tc>
          <w:tcPr>
            <w:tcW w:w="1140"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w:t>
            </w:r>
          </w:p>
        </w:tc>
        <w:tc>
          <w:tcPr>
            <w:tcW w:w="832" w:type="dxa"/>
            <w:noWrap w:val="0"/>
            <w:vAlign w:val="center"/>
          </w:tcPr>
          <w:p>
            <w:pPr>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w:t>
            </w:r>
          </w:p>
        </w:tc>
        <w:tc>
          <w:tcPr>
            <w:tcW w:w="877" w:type="dxa"/>
            <w:noWrap w:val="0"/>
            <w:vAlign w:val="center"/>
          </w:tcPr>
          <w:p>
            <w:pPr>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w:t>
            </w:r>
          </w:p>
        </w:tc>
        <w:tc>
          <w:tcPr>
            <w:tcW w:w="1146" w:type="dxa"/>
            <w:noWrap w:val="0"/>
            <w:vAlign w:val="center"/>
          </w:tcPr>
          <w:p>
            <w:pPr>
              <w:jc w:val="left"/>
              <w:rPr>
                <w:rFonts w:hint="eastAsia" w:eastAsia="仿宋" w:cs="仿宋"/>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73" w:hRule="atLeast"/>
          <w:jc w:val="center"/>
        </w:trPr>
        <w:tc>
          <w:tcPr>
            <w:tcW w:w="921" w:type="dxa"/>
            <w:vMerge w:val="continue"/>
            <w:noWrap w:val="0"/>
            <w:vAlign w:val="center"/>
          </w:tcPr>
          <w:p>
            <w:pPr>
              <w:jc w:val="center"/>
              <w:rPr>
                <w:rFonts w:ascii="Times New Roman" w:hAnsi="Times New Roman" w:eastAsia="仿宋_GB2312"/>
                <w:color w:val="000000"/>
                <w:sz w:val="18"/>
                <w:szCs w:val="18"/>
              </w:rPr>
            </w:pPr>
          </w:p>
        </w:tc>
        <w:tc>
          <w:tcPr>
            <w:tcW w:w="1085" w:type="dxa"/>
            <w:vMerge w:val="continue"/>
            <w:noWrap w:val="0"/>
            <w:vAlign w:val="center"/>
          </w:tcPr>
          <w:p>
            <w:pPr>
              <w:jc w:val="left"/>
              <w:rPr>
                <w:rFonts w:ascii="Times New Roman" w:hAnsi="Times New Roman" w:eastAsia="仿宋_GB2312"/>
                <w:color w:val="000000"/>
                <w:sz w:val="18"/>
                <w:szCs w:val="18"/>
              </w:rPr>
            </w:pPr>
          </w:p>
        </w:tc>
        <w:tc>
          <w:tcPr>
            <w:tcW w:w="1085"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可持续影响指标</w:t>
            </w:r>
          </w:p>
        </w:tc>
        <w:tc>
          <w:tcPr>
            <w:tcW w:w="1230" w:type="dxa"/>
            <w:noWrap w:val="0"/>
            <w:vAlign w:val="center"/>
          </w:tcPr>
          <w:p>
            <w:pPr>
              <w:jc w:val="left"/>
              <w:rPr>
                <w:rFonts w:hint="eastAsia" w:ascii="Times New Roman" w:hAnsi="Times New Roman" w:eastAsia="仿宋_GB2312"/>
                <w:bCs/>
                <w:color w:val="000000"/>
                <w:sz w:val="18"/>
                <w:szCs w:val="18"/>
              </w:rPr>
            </w:pPr>
            <w:r>
              <w:rPr>
                <w:rFonts w:hint="eastAsia" w:ascii="Times New Roman" w:hAnsi="Times New Roman" w:eastAsia="仿宋_GB2312"/>
                <w:bCs/>
                <w:color w:val="000000"/>
                <w:sz w:val="18"/>
                <w:szCs w:val="18"/>
              </w:rPr>
              <w:t>使红色教育代代传承</w:t>
            </w:r>
          </w:p>
        </w:tc>
        <w:tc>
          <w:tcPr>
            <w:tcW w:w="1140" w:type="dxa"/>
            <w:noWrap w:val="0"/>
            <w:vAlign w:val="center"/>
          </w:tcPr>
          <w:p>
            <w:pPr>
              <w:jc w:val="left"/>
              <w:rPr>
                <w:rFonts w:hint="eastAsia" w:ascii="Times New Roman" w:hAnsi="Times New Roman" w:eastAsia="仿宋_GB2312"/>
                <w:bCs/>
                <w:color w:val="000000"/>
                <w:sz w:val="18"/>
                <w:szCs w:val="18"/>
              </w:rPr>
            </w:pPr>
            <w:r>
              <w:rPr>
                <w:rFonts w:hint="eastAsia" w:ascii="Times New Roman" w:hAnsi="Times New Roman" w:eastAsia="仿宋_GB2312"/>
                <w:bCs/>
                <w:color w:val="000000"/>
                <w:sz w:val="18"/>
                <w:szCs w:val="18"/>
              </w:rPr>
              <w:t>传承</w:t>
            </w:r>
          </w:p>
        </w:tc>
        <w:tc>
          <w:tcPr>
            <w:tcW w:w="1140" w:type="dxa"/>
            <w:noWrap w:val="0"/>
            <w:vAlign w:val="center"/>
          </w:tcPr>
          <w:p>
            <w:pPr>
              <w:jc w:val="left"/>
              <w:rPr>
                <w:rFonts w:ascii="Times New Roman" w:hAnsi="Times New Roman" w:eastAsia="仿宋_GB2312"/>
                <w:bCs/>
                <w:color w:val="000000"/>
                <w:sz w:val="18"/>
                <w:szCs w:val="18"/>
              </w:rPr>
            </w:pPr>
            <w:r>
              <w:rPr>
                <w:rFonts w:hint="eastAsia" w:ascii="Times New Roman" w:hAnsi="Times New Roman" w:eastAsia="仿宋_GB2312"/>
                <w:bCs/>
                <w:color w:val="000000"/>
                <w:sz w:val="18"/>
                <w:szCs w:val="18"/>
              </w:rPr>
              <w:t>传承</w:t>
            </w:r>
          </w:p>
        </w:tc>
        <w:tc>
          <w:tcPr>
            <w:tcW w:w="832" w:type="dxa"/>
            <w:noWrap w:val="0"/>
            <w:vAlign w:val="center"/>
          </w:tcPr>
          <w:p>
            <w:pPr>
              <w:jc w:val="center"/>
              <w:rPr>
                <w:rFonts w:ascii="Times New Roman" w:hAnsi="Times New Roman" w:eastAsia="仿宋_GB2312"/>
                <w:bCs/>
                <w:color w:val="000000"/>
                <w:sz w:val="18"/>
                <w:szCs w:val="18"/>
              </w:rPr>
            </w:pPr>
            <w:r>
              <w:rPr>
                <w:rFonts w:hint="eastAsia" w:ascii="Times New Roman" w:hAnsi="Times New Roman" w:eastAsia="仿宋_GB2312"/>
                <w:bCs/>
                <w:color w:val="000000"/>
                <w:sz w:val="18"/>
                <w:szCs w:val="18"/>
              </w:rPr>
              <w:t>15</w:t>
            </w:r>
          </w:p>
        </w:tc>
        <w:tc>
          <w:tcPr>
            <w:tcW w:w="877" w:type="dxa"/>
            <w:noWrap w:val="0"/>
            <w:vAlign w:val="center"/>
          </w:tcPr>
          <w:p>
            <w:pPr>
              <w:jc w:val="center"/>
              <w:rPr>
                <w:rFonts w:ascii="Times New Roman" w:hAnsi="Times New Roman" w:eastAsia="仿宋_GB2312"/>
                <w:bCs/>
                <w:color w:val="000000"/>
                <w:sz w:val="18"/>
                <w:szCs w:val="18"/>
              </w:rPr>
            </w:pPr>
            <w:r>
              <w:rPr>
                <w:rFonts w:hint="eastAsia" w:ascii="Times New Roman" w:hAnsi="Times New Roman" w:eastAsia="仿宋_GB2312"/>
                <w:bCs/>
                <w:color w:val="000000"/>
                <w:sz w:val="18"/>
                <w:szCs w:val="18"/>
              </w:rPr>
              <w:t>15</w:t>
            </w:r>
          </w:p>
        </w:tc>
        <w:tc>
          <w:tcPr>
            <w:tcW w:w="1146" w:type="dxa"/>
            <w:noWrap w:val="0"/>
            <w:vAlign w:val="center"/>
          </w:tcPr>
          <w:p>
            <w:pPr>
              <w:jc w:val="left"/>
              <w:rPr>
                <w:rFonts w:hint="eastAsia" w:eastAsia="仿宋" w:cs="仿宋"/>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ascii="Times New Roman" w:hAnsi="Times New Roman" w:eastAsia="仿宋_GB2312"/>
                <w:color w:val="000000"/>
                <w:sz w:val="18"/>
                <w:szCs w:val="18"/>
              </w:rPr>
            </w:pPr>
          </w:p>
        </w:tc>
        <w:tc>
          <w:tcPr>
            <w:tcW w:w="1085"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满意度</w:t>
            </w:r>
          </w:p>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指标</w:t>
            </w:r>
          </w:p>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（10分）</w:t>
            </w:r>
          </w:p>
        </w:tc>
        <w:tc>
          <w:tcPr>
            <w:tcW w:w="1085"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服务对象满意度指标</w:t>
            </w:r>
          </w:p>
        </w:tc>
        <w:tc>
          <w:tcPr>
            <w:tcW w:w="1230" w:type="dxa"/>
            <w:noWrap w:val="0"/>
            <w:vAlign w:val="center"/>
          </w:tcPr>
          <w:p>
            <w:pPr>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群众满意度</w:t>
            </w:r>
          </w:p>
        </w:tc>
        <w:tc>
          <w:tcPr>
            <w:tcW w:w="1140"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98%</w:t>
            </w:r>
          </w:p>
        </w:tc>
        <w:tc>
          <w:tcPr>
            <w:tcW w:w="1140"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95%</w:t>
            </w:r>
          </w:p>
        </w:tc>
        <w:tc>
          <w:tcPr>
            <w:tcW w:w="832" w:type="dxa"/>
            <w:noWrap w:val="0"/>
            <w:vAlign w:val="center"/>
          </w:tcPr>
          <w:p>
            <w:pPr>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10</w:t>
            </w:r>
          </w:p>
        </w:tc>
        <w:tc>
          <w:tcPr>
            <w:tcW w:w="877" w:type="dxa"/>
            <w:noWrap w:val="0"/>
            <w:vAlign w:val="center"/>
          </w:tcPr>
          <w:p>
            <w:pPr>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8</w:t>
            </w:r>
          </w:p>
        </w:tc>
        <w:tc>
          <w:tcPr>
            <w:tcW w:w="1146" w:type="dxa"/>
            <w:noWrap w:val="0"/>
            <w:vAlign w:val="center"/>
          </w:tcPr>
          <w:p>
            <w:pPr>
              <w:jc w:val="left"/>
              <w:rPr>
                <w:rFonts w:hint="eastAsia" w:eastAsia="仿宋" w:cs="仿宋"/>
                <w:color w:val="000000"/>
                <w:sz w:val="18"/>
                <w:szCs w:val="18"/>
              </w:rPr>
            </w:pPr>
            <w:r>
              <w:rPr>
                <w:rFonts w:hint="eastAsia" w:eastAsia="仿宋" w:cs="仿宋"/>
                <w:sz w:val="18"/>
                <w:szCs w:val="18"/>
              </w:rPr>
              <w:t>不断改善还是很多方面需要不断提高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6601" w:type="dxa"/>
            <w:gridSpan w:val="6"/>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总分</w:t>
            </w:r>
          </w:p>
        </w:tc>
        <w:tc>
          <w:tcPr>
            <w:tcW w:w="832"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100</w:t>
            </w:r>
          </w:p>
        </w:tc>
        <w:tc>
          <w:tcPr>
            <w:tcW w:w="877"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95</w:t>
            </w:r>
          </w:p>
        </w:tc>
        <w:tc>
          <w:tcPr>
            <w:tcW w:w="1146"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bl>
    <w:p>
      <w:pPr>
        <w:jc w:val="left"/>
        <w:rPr>
          <w:rFonts w:ascii="Times New Roman" w:hAnsi="Times New Roman" w:eastAsia="仿宋_GB2312"/>
          <w:sz w:val="18"/>
          <w:szCs w:val="18"/>
        </w:rPr>
      </w:pPr>
      <w:r>
        <w:rPr>
          <w:rFonts w:ascii="Times New Roman" w:hAnsi="Times New Roman" w:eastAsia="仿宋_GB2312"/>
          <w:sz w:val="18"/>
          <w:szCs w:val="18"/>
        </w:rPr>
        <w:t>备注：每个项目支出分别填报自评报告和自评表。</w:t>
      </w:r>
    </w:p>
    <w:p>
      <w:pPr>
        <w:jc w:val="left"/>
        <w:rPr>
          <w:rFonts w:ascii="Times New Roman" w:hAnsi="Times New Roman" w:eastAsia="仿宋_GB2312"/>
          <w:sz w:val="18"/>
          <w:szCs w:val="18"/>
        </w:rPr>
      </w:pPr>
    </w:p>
    <w:p>
      <w:pPr>
        <w:pStyle w:val="2"/>
        <w:rPr>
          <w:rFonts w:ascii="Times New Roman" w:hAnsi="Times New Roman" w:eastAsia="黑体"/>
          <w:color w:val="000000"/>
          <w:sz w:val="32"/>
          <w:szCs w:val="32"/>
        </w:rPr>
      </w:pPr>
      <w:r>
        <w:rPr>
          <w:rFonts w:ascii="Times New Roman" w:hAnsi="Times New Roman" w:eastAsia="仿宋_GB2312"/>
          <w:sz w:val="22"/>
        </w:rPr>
        <w:t>填表人：</w:t>
      </w:r>
      <w:r>
        <w:rPr>
          <w:rFonts w:hint="eastAsia" w:ascii="Times New Roman" w:hAnsi="Times New Roman" w:eastAsia="仿宋_GB2312"/>
          <w:sz w:val="22"/>
        </w:rPr>
        <w:t>刘青</w:t>
      </w:r>
      <w:r>
        <w:rPr>
          <w:rFonts w:ascii="Times New Roman" w:hAnsi="Times New Roman" w:eastAsia="仿宋_GB2312"/>
          <w:sz w:val="22"/>
        </w:rPr>
        <w:t xml:space="preserve">  填报日期：</w:t>
      </w:r>
      <w:r>
        <w:rPr>
          <w:rFonts w:hint="eastAsia" w:ascii="Times New Roman" w:hAnsi="Times New Roman" w:eastAsia="仿宋_GB2312"/>
          <w:sz w:val="22"/>
        </w:rPr>
        <w:t>2022年4月16日</w:t>
      </w:r>
      <w:r>
        <w:rPr>
          <w:rFonts w:ascii="Times New Roman" w:hAnsi="Times New Roman" w:eastAsia="仿宋_GB2312"/>
          <w:sz w:val="22"/>
        </w:rPr>
        <w:t xml:space="preserve"> 联系电话： </w:t>
      </w:r>
      <w:r>
        <w:rPr>
          <w:rFonts w:hint="eastAsia" w:ascii="Times New Roman" w:hAnsi="Times New Roman" w:eastAsia="仿宋_GB2312"/>
          <w:sz w:val="22"/>
        </w:rPr>
        <w:t>13873563276</w:t>
      </w:r>
      <w:r>
        <w:rPr>
          <w:rFonts w:ascii="Times New Roman" w:hAnsi="Times New Roman" w:eastAsia="仿宋_GB2312"/>
          <w:sz w:val="22"/>
        </w:rPr>
        <w:t xml:space="preserve">  单位负责人签字：</w:t>
      </w:r>
    </w:p>
    <w:p>
      <w:pPr>
        <w:pStyle w:val="2"/>
        <w:rPr>
          <w:rFonts w:ascii="Times New Roman" w:hAnsi="Times New Roman" w:eastAsia="仿宋_GB2312"/>
          <w:sz w:val="18"/>
          <w:szCs w:val="18"/>
        </w:rPr>
      </w:pPr>
    </w:p>
    <w:p>
      <w:pPr>
        <w:pStyle w:val="2"/>
        <w:rPr>
          <w:rFonts w:ascii="Times New Roman" w:hAnsi="Times New Roman" w:eastAsia="仿宋_GB2312"/>
          <w:sz w:val="18"/>
          <w:szCs w:val="18"/>
        </w:rPr>
      </w:pPr>
    </w:p>
    <w:p>
      <w:pPr>
        <w:pStyle w:val="2"/>
        <w:rPr>
          <w:rFonts w:ascii="Times New Roman" w:hAnsi="Times New Roman" w:eastAsia="仿宋_GB2312"/>
          <w:sz w:val="18"/>
          <w:szCs w:val="18"/>
        </w:rPr>
      </w:pPr>
    </w:p>
    <w:p>
      <w:pPr>
        <w:pStyle w:val="2"/>
        <w:rPr>
          <w:rFonts w:ascii="Times New Roman" w:hAnsi="Times New Roman" w:eastAsia="仿宋_GB2312"/>
          <w:sz w:val="18"/>
          <w:szCs w:val="18"/>
        </w:rPr>
      </w:pPr>
    </w:p>
    <w:p>
      <w:pPr>
        <w:pStyle w:val="2"/>
        <w:rPr>
          <w:rFonts w:ascii="Times New Roman" w:hAnsi="Times New Roman" w:eastAsia="仿宋_GB2312"/>
          <w:sz w:val="18"/>
          <w:szCs w:val="18"/>
        </w:rPr>
      </w:pPr>
    </w:p>
    <w:p>
      <w:pPr>
        <w:pStyle w:val="2"/>
        <w:rPr>
          <w:rFonts w:ascii="Times New Roman" w:hAnsi="Times New Roman" w:eastAsia="仿宋_GB2312"/>
          <w:sz w:val="18"/>
          <w:szCs w:val="18"/>
        </w:rPr>
      </w:pPr>
    </w:p>
    <w:p>
      <w:pPr>
        <w:pStyle w:val="2"/>
        <w:rPr>
          <w:rFonts w:ascii="Times New Roman" w:hAnsi="Times New Roman" w:eastAsia="仿宋_GB2312"/>
          <w:sz w:val="18"/>
          <w:szCs w:val="18"/>
        </w:rPr>
      </w:pPr>
    </w:p>
    <w:p>
      <w:pPr>
        <w:pStyle w:val="2"/>
        <w:rPr>
          <w:rFonts w:ascii="Times New Roman" w:hAnsi="Times New Roman" w:eastAsia="仿宋_GB2312"/>
          <w:sz w:val="18"/>
          <w:szCs w:val="18"/>
        </w:rPr>
      </w:pPr>
    </w:p>
    <w:p>
      <w:pPr>
        <w:pStyle w:val="2"/>
        <w:rPr>
          <w:rFonts w:ascii="Times New Roman" w:hAnsi="Times New Roman" w:eastAsia="仿宋_GB2312"/>
          <w:sz w:val="18"/>
          <w:szCs w:val="18"/>
        </w:rPr>
      </w:pPr>
    </w:p>
    <w:p>
      <w:pPr>
        <w:pStyle w:val="2"/>
        <w:rPr>
          <w:rFonts w:ascii="Times New Roman" w:hAnsi="Times New Roman" w:eastAsia="仿宋_GB2312"/>
          <w:sz w:val="18"/>
          <w:szCs w:val="18"/>
        </w:rPr>
      </w:pPr>
    </w:p>
    <w:p>
      <w:pPr>
        <w:pStyle w:val="2"/>
        <w:rPr>
          <w:rFonts w:ascii="Times New Roman" w:hAnsi="Times New Roman" w:eastAsia="仿宋_GB2312"/>
          <w:sz w:val="18"/>
          <w:szCs w:val="18"/>
        </w:rPr>
      </w:pPr>
    </w:p>
    <w:p>
      <w:pPr>
        <w:pStyle w:val="2"/>
        <w:rPr>
          <w:rFonts w:ascii="Times New Roman" w:hAnsi="Times New Roman" w:eastAsia="仿宋_GB2312"/>
          <w:sz w:val="18"/>
          <w:szCs w:val="18"/>
        </w:rPr>
      </w:pPr>
    </w:p>
    <w:p>
      <w:pPr>
        <w:pStyle w:val="2"/>
        <w:rPr>
          <w:rFonts w:ascii="Times New Roman" w:hAnsi="Times New Roman" w:eastAsia="仿宋_GB2312"/>
          <w:sz w:val="18"/>
          <w:szCs w:val="18"/>
        </w:rPr>
      </w:pPr>
    </w:p>
    <w:p>
      <w:pPr>
        <w:pStyle w:val="2"/>
        <w:rPr>
          <w:rFonts w:ascii="Times New Roman" w:hAnsi="Times New Roman" w:eastAsia="仿宋_GB2312"/>
          <w:sz w:val="18"/>
          <w:szCs w:val="18"/>
        </w:rPr>
      </w:pPr>
    </w:p>
    <w:p>
      <w:pPr>
        <w:pStyle w:val="2"/>
        <w:rPr>
          <w:rFonts w:ascii="Times New Roman" w:hAnsi="Times New Roman" w:eastAsia="仿宋_GB2312"/>
          <w:sz w:val="18"/>
          <w:szCs w:val="18"/>
        </w:rPr>
      </w:pPr>
    </w:p>
    <w:p>
      <w:pPr>
        <w:spacing w:line="600" w:lineRule="exact"/>
        <w:jc w:val="left"/>
        <w:rPr>
          <w:rFonts w:ascii="Times New Roman" w:hAnsi="Times New Roman" w:eastAsia="黑体"/>
          <w:color w:val="000000"/>
          <w:sz w:val="32"/>
          <w:szCs w:val="32"/>
        </w:rPr>
      </w:pPr>
      <w:r>
        <w:rPr>
          <w:rFonts w:ascii="Times New Roman" w:hAnsi="Times New Roman" w:eastAsia="黑体"/>
          <w:color w:val="000000"/>
          <w:sz w:val="32"/>
          <w:szCs w:val="32"/>
        </w:rPr>
        <w:t>附件4</w:t>
      </w:r>
    </w:p>
    <w:p>
      <w:pPr>
        <w:spacing w:after="120" w:afterLines="50" w:line="600" w:lineRule="exact"/>
        <w:ind w:firstLine="1680" w:firstLineChars="800"/>
        <w:rPr>
          <w:rFonts w:ascii="方正小标宋简体" w:hAnsi="Times New Roman" w:eastAsia="方正小标宋简体"/>
          <w:szCs w:val="28"/>
        </w:rPr>
      </w:pPr>
      <w:r>
        <w:rPr>
          <w:rFonts w:ascii="方正小标宋简体" w:hAnsi="Times New Roman" w:eastAsia="方正小标宋简体"/>
          <w:szCs w:val="28"/>
        </w:rPr>
        <w:t>2021年度项目支出绩效自评报告</w:t>
      </w:r>
    </w:p>
    <w:tbl>
      <w:tblPr>
        <w:tblStyle w:val="7"/>
        <w:tblpPr w:leftFromText="180" w:rightFromText="180" w:vertAnchor="text" w:horzAnchor="margin" w:tblpXSpec="center" w:tblpY="189"/>
        <w:tblW w:w="916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57"/>
        <w:gridCol w:w="1972"/>
        <w:gridCol w:w="56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4" w:hRule="atLeast"/>
        </w:trPr>
        <w:tc>
          <w:tcPr>
            <w:tcW w:w="1557" w:type="dxa"/>
            <w:vMerge w:val="restart"/>
            <w:noWrap w:val="0"/>
            <w:vAlign w:val="center"/>
          </w:tcPr>
          <w:p>
            <w:pPr>
              <w:spacing w:line="576" w:lineRule="exact"/>
              <w:jc w:val="center"/>
              <w:rPr>
                <w:rFonts w:hint="eastAsia" w:ascii="宋体" w:hAnsi="宋体" w:cs="宋体"/>
                <w:sz w:val="18"/>
                <w:szCs w:val="18"/>
              </w:rPr>
            </w:pPr>
            <w:r>
              <w:rPr>
                <w:rFonts w:hint="eastAsia" w:ascii="宋体" w:hAnsi="宋体" w:cs="宋体"/>
                <w:sz w:val="18"/>
                <w:szCs w:val="18"/>
              </w:rPr>
              <w:t>部门概况</w:t>
            </w:r>
          </w:p>
        </w:tc>
        <w:tc>
          <w:tcPr>
            <w:tcW w:w="1972" w:type="dxa"/>
            <w:noWrap w:val="0"/>
            <w:vAlign w:val="center"/>
          </w:tcPr>
          <w:p>
            <w:pPr>
              <w:spacing w:line="576" w:lineRule="exact"/>
              <w:jc w:val="center"/>
              <w:rPr>
                <w:rFonts w:hint="eastAsia" w:ascii="宋体" w:hAnsi="宋体" w:cs="宋体"/>
                <w:sz w:val="18"/>
                <w:szCs w:val="18"/>
              </w:rPr>
            </w:pPr>
            <w:r>
              <w:rPr>
                <w:rFonts w:hint="eastAsia" w:ascii="宋体" w:hAnsi="宋体" w:cs="宋体"/>
                <w:sz w:val="18"/>
                <w:szCs w:val="18"/>
              </w:rPr>
              <w:t>专项名称</w:t>
            </w:r>
          </w:p>
        </w:tc>
        <w:tc>
          <w:tcPr>
            <w:tcW w:w="5633" w:type="dxa"/>
            <w:noWrap w:val="0"/>
            <w:vAlign w:val="center"/>
          </w:tcPr>
          <w:p>
            <w:pPr>
              <w:spacing w:line="576" w:lineRule="exact"/>
              <w:ind w:right="71" w:rightChars="34"/>
              <w:jc w:val="center"/>
              <w:rPr>
                <w:rFonts w:hint="eastAsia" w:ascii="宋体" w:hAnsi="宋体" w:cs="宋体"/>
                <w:sz w:val="18"/>
                <w:szCs w:val="18"/>
              </w:rPr>
            </w:pPr>
            <w:r>
              <w:rPr>
                <w:rFonts w:hint="eastAsia" w:ascii="宋体" w:hAnsi="宋体" w:cs="宋体"/>
                <w:sz w:val="18"/>
                <w:szCs w:val="18"/>
              </w:rPr>
              <w:t>湘南起义旧址-郴县苏维埃政府（陈家大屋)修缮、消安防工程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4" w:hRule="atLeast"/>
        </w:trPr>
        <w:tc>
          <w:tcPr>
            <w:tcW w:w="1557" w:type="dxa"/>
            <w:vMerge w:val="continue"/>
            <w:noWrap w:val="0"/>
            <w:vAlign w:val="top"/>
          </w:tcPr>
          <w:p>
            <w:pPr>
              <w:rPr>
                <w:rFonts w:hint="eastAsia" w:ascii="宋体" w:hAnsi="宋体" w:cs="宋体"/>
                <w:sz w:val="18"/>
                <w:szCs w:val="18"/>
              </w:rPr>
            </w:pPr>
          </w:p>
        </w:tc>
        <w:tc>
          <w:tcPr>
            <w:tcW w:w="1972" w:type="dxa"/>
            <w:noWrap w:val="0"/>
            <w:vAlign w:val="center"/>
          </w:tcPr>
          <w:p>
            <w:pPr>
              <w:spacing w:line="576" w:lineRule="exact"/>
              <w:jc w:val="center"/>
              <w:rPr>
                <w:rFonts w:hint="eastAsia" w:ascii="宋体" w:hAnsi="宋体" w:cs="宋体"/>
                <w:sz w:val="18"/>
                <w:szCs w:val="18"/>
              </w:rPr>
            </w:pPr>
            <w:r>
              <w:rPr>
                <w:rFonts w:hint="eastAsia" w:ascii="宋体" w:hAnsi="宋体" w:cs="宋体"/>
                <w:sz w:val="18"/>
                <w:szCs w:val="18"/>
              </w:rPr>
              <w:t>年度预算金额</w:t>
            </w:r>
          </w:p>
        </w:tc>
        <w:tc>
          <w:tcPr>
            <w:tcW w:w="5633" w:type="dxa"/>
            <w:noWrap w:val="0"/>
            <w:vAlign w:val="center"/>
          </w:tcPr>
          <w:p>
            <w:pPr>
              <w:spacing w:line="576" w:lineRule="exact"/>
              <w:ind w:right="71" w:rightChars="34"/>
              <w:jc w:val="center"/>
              <w:rPr>
                <w:rFonts w:hint="eastAsia" w:ascii="宋体" w:hAnsi="宋体" w:cs="宋体"/>
                <w:sz w:val="18"/>
                <w:szCs w:val="18"/>
              </w:rPr>
            </w:pPr>
            <w:r>
              <w:rPr>
                <w:rFonts w:hint="eastAsia" w:ascii="宋体" w:hAnsi="宋体" w:cs="宋体"/>
                <w:sz w:val="18"/>
                <w:szCs w:val="18"/>
              </w:rPr>
              <w:t>130.25万元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4" w:hRule="atLeast"/>
        </w:trPr>
        <w:tc>
          <w:tcPr>
            <w:tcW w:w="1557" w:type="dxa"/>
            <w:vMerge w:val="continue"/>
            <w:noWrap w:val="0"/>
            <w:vAlign w:val="top"/>
          </w:tcPr>
          <w:p>
            <w:pPr>
              <w:rPr>
                <w:rFonts w:hint="eastAsia" w:ascii="宋体" w:hAnsi="宋体" w:cs="宋体"/>
                <w:sz w:val="18"/>
                <w:szCs w:val="18"/>
              </w:rPr>
            </w:pPr>
          </w:p>
        </w:tc>
        <w:tc>
          <w:tcPr>
            <w:tcW w:w="1972" w:type="dxa"/>
            <w:noWrap w:val="0"/>
            <w:vAlign w:val="center"/>
          </w:tcPr>
          <w:p>
            <w:pPr>
              <w:spacing w:line="576" w:lineRule="exact"/>
              <w:jc w:val="center"/>
              <w:rPr>
                <w:rFonts w:hint="eastAsia" w:ascii="宋体" w:hAnsi="宋体" w:cs="宋体"/>
                <w:sz w:val="18"/>
                <w:szCs w:val="18"/>
              </w:rPr>
            </w:pPr>
            <w:r>
              <w:rPr>
                <w:rFonts w:hint="eastAsia" w:ascii="宋体" w:hAnsi="宋体" w:cs="宋体"/>
                <w:sz w:val="18"/>
                <w:szCs w:val="18"/>
              </w:rPr>
              <w:t>项目主管部门</w:t>
            </w:r>
          </w:p>
        </w:tc>
        <w:tc>
          <w:tcPr>
            <w:tcW w:w="5633" w:type="dxa"/>
            <w:noWrap w:val="0"/>
            <w:vAlign w:val="center"/>
          </w:tcPr>
          <w:p>
            <w:pPr>
              <w:spacing w:line="576" w:lineRule="exact"/>
              <w:ind w:right="71" w:rightChars="34"/>
              <w:jc w:val="center"/>
              <w:rPr>
                <w:rFonts w:hint="eastAsia" w:ascii="宋体" w:hAnsi="宋体" w:cs="宋体"/>
                <w:sz w:val="18"/>
                <w:szCs w:val="18"/>
              </w:rPr>
            </w:pPr>
            <w:r>
              <w:rPr>
                <w:rFonts w:hint="eastAsia" w:ascii="宋体" w:hAnsi="宋体" w:cs="宋体"/>
                <w:sz w:val="18"/>
                <w:szCs w:val="18"/>
              </w:rPr>
              <w:t>郴州市文化旅游广电体育局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03" w:hRule="atLeast"/>
        </w:trPr>
        <w:tc>
          <w:tcPr>
            <w:tcW w:w="1557" w:type="dxa"/>
            <w:vMerge w:val="continue"/>
            <w:noWrap w:val="0"/>
            <w:vAlign w:val="top"/>
          </w:tcPr>
          <w:p>
            <w:pPr>
              <w:rPr>
                <w:rFonts w:hint="eastAsia" w:ascii="宋体" w:hAnsi="宋体" w:cs="宋体"/>
                <w:sz w:val="18"/>
                <w:szCs w:val="18"/>
              </w:rPr>
            </w:pPr>
          </w:p>
        </w:tc>
        <w:tc>
          <w:tcPr>
            <w:tcW w:w="1972" w:type="dxa"/>
            <w:noWrap w:val="0"/>
            <w:vAlign w:val="center"/>
          </w:tcPr>
          <w:p>
            <w:pPr>
              <w:spacing w:line="576" w:lineRule="exact"/>
              <w:jc w:val="center"/>
              <w:rPr>
                <w:rFonts w:hint="eastAsia" w:ascii="宋体" w:hAnsi="宋体" w:cs="宋体"/>
                <w:sz w:val="18"/>
                <w:szCs w:val="18"/>
              </w:rPr>
            </w:pPr>
            <w:r>
              <w:rPr>
                <w:rFonts w:hint="eastAsia" w:ascii="宋体" w:hAnsi="宋体" w:cs="宋体"/>
                <w:sz w:val="18"/>
                <w:szCs w:val="18"/>
              </w:rPr>
              <w:t>项目立项目的</w:t>
            </w:r>
          </w:p>
        </w:tc>
        <w:tc>
          <w:tcPr>
            <w:tcW w:w="5633" w:type="dxa"/>
            <w:noWrap w:val="0"/>
            <w:vAlign w:val="center"/>
          </w:tcPr>
          <w:p>
            <w:pPr>
              <w:ind w:right="71" w:rightChars="34"/>
              <w:rPr>
                <w:rFonts w:hint="eastAsia" w:ascii="宋体" w:hAnsi="宋体" w:cs="宋体"/>
                <w:sz w:val="18"/>
                <w:szCs w:val="18"/>
              </w:rPr>
            </w:pPr>
            <w:r>
              <w:rPr>
                <w:rFonts w:hint="eastAsia" w:ascii="宋体" w:hAnsi="宋体" w:cs="宋体"/>
                <w:sz w:val="18"/>
                <w:szCs w:val="18"/>
              </w:rPr>
              <w:t>根据国家文物总局开展对全国重点文物实施保护的要求，对郴县苏维埃政府旧址（陈家大屋)进行修缮、消防、安防提质改造，消除安全隐患。</w:t>
            </w:r>
          </w:p>
          <w:p>
            <w:pPr>
              <w:ind w:right="71" w:rightChars="34"/>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42" w:hRule="atLeast"/>
        </w:trPr>
        <w:tc>
          <w:tcPr>
            <w:tcW w:w="1557" w:type="dxa"/>
            <w:vMerge w:val="restart"/>
            <w:noWrap w:val="0"/>
            <w:vAlign w:val="center"/>
          </w:tcPr>
          <w:p>
            <w:pPr>
              <w:spacing w:line="576" w:lineRule="exact"/>
              <w:jc w:val="center"/>
              <w:rPr>
                <w:rFonts w:hint="eastAsia" w:ascii="宋体" w:hAnsi="宋体" w:cs="宋体"/>
                <w:sz w:val="18"/>
                <w:szCs w:val="18"/>
              </w:rPr>
            </w:pPr>
            <w:r>
              <w:rPr>
                <w:rFonts w:hint="eastAsia" w:ascii="宋体" w:hAnsi="宋体" w:cs="宋体"/>
                <w:sz w:val="18"/>
                <w:szCs w:val="18"/>
              </w:rPr>
              <w:t>绩效情况</w:t>
            </w:r>
          </w:p>
        </w:tc>
        <w:tc>
          <w:tcPr>
            <w:tcW w:w="1972" w:type="dxa"/>
            <w:noWrap w:val="0"/>
            <w:vAlign w:val="center"/>
          </w:tcPr>
          <w:p>
            <w:pPr>
              <w:spacing w:line="576" w:lineRule="exact"/>
              <w:jc w:val="center"/>
              <w:rPr>
                <w:rFonts w:hint="eastAsia" w:ascii="宋体" w:hAnsi="宋体" w:cs="宋体"/>
                <w:sz w:val="18"/>
                <w:szCs w:val="18"/>
              </w:rPr>
            </w:pPr>
            <w:r>
              <w:rPr>
                <w:rFonts w:hint="eastAsia" w:ascii="宋体" w:hAnsi="宋体" w:cs="宋体"/>
                <w:sz w:val="18"/>
                <w:szCs w:val="18"/>
              </w:rPr>
              <w:t>项目支出管理和使用基本情况</w:t>
            </w:r>
          </w:p>
        </w:tc>
        <w:tc>
          <w:tcPr>
            <w:tcW w:w="5633" w:type="dxa"/>
            <w:noWrap w:val="0"/>
            <w:vAlign w:val="center"/>
          </w:tcPr>
          <w:p>
            <w:pPr>
              <w:tabs>
                <w:tab w:val="left" w:pos="5600"/>
              </w:tabs>
              <w:ind w:right="71" w:rightChars="34"/>
              <w:jc w:val="left"/>
              <w:rPr>
                <w:rFonts w:hint="eastAsia" w:ascii="宋体" w:hAnsi="宋体" w:cs="宋体"/>
                <w:sz w:val="18"/>
                <w:szCs w:val="18"/>
              </w:rPr>
            </w:pPr>
            <w:r>
              <w:rPr>
                <w:rFonts w:hint="eastAsia" w:ascii="宋体" w:hAnsi="宋体" w:cs="宋体"/>
                <w:sz w:val="18"/>
                <w:szCs w:val="18"/>
              </w:rPr>
              <w:t>1、项目支出严格按照专款专用管理；2、项目资金按照预算设定用途规范使用；3、全年预算130.25万元（其中含上年结转资金55.39万元），实际支出130.25万元，该资金主要用于陈家大屋旧址修缮款、消防和安防工程款支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95" w:hRule="atLeast"/>
        </w:trPr>
        <w:tc>
          <w:tcPr>
            <w:tcW w:w="1557" w:type="dxa"/>
            <w:vMerge w:val="continue"/>
            <w:noWrap w:val="0"/>
            <w:vAlign w:val="top"/>
          </w:tcPr>
          <w:p>
            <w:pPr>
              <w:rPr>
                <w:rFonts w:hint="eastAsia" w:ascii="宋体" w:hAnsi="宋体" w:cs="宋体"/>
                <w:sz w:val="18"/>
                <w:szCs w:val="18"/>
              </w:rPr>
            </w:pPr>
          </w:p>
        </w:tc>
        <w:tc>
          <w:tcPr>
            <w:tcW w:w="1972" w:type="dxa"/>
            <w:noWrap w:val="0"/>
            <w:vAlign w:val="center"/>
          </w:tcPr>
          <w:p>
            <w:pPr>
              <w:spacing w:line="576" w:lineRule="exact"/>
              <w:jc w:val="center"/>
              <w:rPr>
                <w:rFonts w:hint="eastAsia" w:ascii="宋体" w:hAnsi="宋体" w:cs="宋体"/>
                <w:sz w:val="18"/>
                <w:szCs w:val="18"/>
              </w:rPr>
            </w:pPr>
            <w:r>
              <w:rPr>
                <w:rFonts w:hint="eastAsia" w:ascii="宋体" w:hAnsi="宋体" w:cs="宋体"/>
                <w:sz w:val="18"/>
                <w:szCs w:val="18"/>
              </w:rPr>
              <w:t>项目绩效目标完成情况</w:t>
            </w:r>
          </w:p>
        </w:tc>
        <w:tc>
          <w:tcPr>
            <w:tcW w:w="5633" w:type="dxa"/>
            <w:noWrap w:val="0"/>
            <w:vAlign w:val="center"/>
          </w:tcPr>
          <w:p>
            <w:pPr>
              <w:numPr>
                <w:ilvl w:val="0"/>
                <w:numId w:val="7"/>
              </w:numPr>
              <w:ind w:right="71" w:rightChars="34"/>
              <w:jc w:val="left"/>
              <w:rPr>
                <w:rFonts w:hint="eastAsia" w:ascii="宋体" w:hAnsi="宋体" w:cs="宋体"/>
                <w:sz w:val="18"/>
                <w:szCs w:val="18"/>
              </w:rPr>
            </w:pPr>
            <w:r>
              <w:rPr>
                <w:rFonts w:hint="eastAsia" w:ascii="宋体" w:hAnsi="宋体" w:cs="宋体"/>
                <w:sz w:val="18"/>
                <w:szCs w:val="18"/>
              </w:rPr>
              <w:t>对陈家大屋旧址进行修缮提质改造，使旧址再现晚清民居风貌，提高了红色文化旅游景点影响力，带动我市红色旅游发展。</w:t>
            </w:r>
          </w:p>
          <w:p>
            <w:pPr>
              <w:numPr>
                <w:ilvl w:val="0"/>
                <w:numId w:val="7"/>
              </w:numPr>
              <w:ind w:right="71" w:rightChars="34"/>
              <w:jc w:val="left"/>
              <w:rPr>
                <w:rFonts w:hint="eastAsia" w:ascii="宋体" w:hAnsi="宋体" w:cs="宋体"/>
                <w:sz w:val="18"/>
                <w:szCs w:val="18"/>
              </w:rPr>
            </w:pPr>
            <w:r>
              <w:rPr>
                <w:rFonts w:hint="eastAsia" w:ascii="宋体" w:hAnsi="宋体" w:cs="宋体"/>
                <w:sz w:val="18"/>
                <w:szCs w:val="18"/>
              </w:rPr>
              <w:t>对陈家大屋旧址及周边消、安防问题实施排查，进行勘察、设计和施工，及时增添消防设</w:t>
            </w:r>
            <w:r>
              <w:rPr>
                <w:rFonts w:hint="eastAsia" w:ascii="宋体" w:hAnsi="宋体" w:cs="宋体"/>
                <w:sz w:val="18"/>
                <w:szCs w:val="18"/>
                <w:highlight w:val="none"/>
              </w:rPr>
              <w:t>施并增派安保人员，</w:t>
            </w:r>
            <w:r>
              <w:rPr>
                <w:rFonts w:hint="eastAsia" w:ascii="宋体" w:hAnsi="宋体" w:cs="宋体"/>
                <w:sz w:val="18"/>
                <w:szCs w:val="18"/>
              </w:rPr>
              <w:t>消除了旧址存在潜在的安全隐患，解除了后顾之忧。</w:t>
            </w:r>
          </w:p>
          <w:p>
            <w:pPr>
              <w:ind w:right="71" w:rightChars="34"/>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80" w:hRule="atLeast"/>
        </w:trPr>
        <w:tc>
          <w:tcPr>
            <w:tcW w:w="1557" w:type="dxa"/>
            <w:vMerge w:val="restart"/>
            <w:noWrap w:val="0"/>
            <w:vAlign w:val="center"/>
          </w:tcPr>
          <w:p>
            <w:pPr>
              <w:spacing w:line="576" w:lineRule="exact"/>
              <w:jc w:val="center"/>
              <w:rPr>
                <w:rFonts w:hint="eastAsia" w:ascii="宋体" w:hAnsi="宋体" w:cs="宋体"/>
                <w:sz w:val="18"/>
                <w:szCs w:val="18"/>
              </w:rPr>
            </w:pPr>
            <w:r>
              <w:rPr>
                <w:rFonts w:hint="eastAsia" w:ascii="宋体" w:hAnsi="宋体" w:cs="宋体"/>
                <w:sz w:val="18"/>
                <w:szCs w:val="18"/>
              </w:rPr>
              <w:t>存在的问题分析及改进措施</w:t>
            </w:r>
          </w:p>
        </w:tc>
        <w:tc>
          <w:tcPr>
            <w:tcW w:w="1972" w:type="dxa"/>
            <w:noWrap w:val="0"/>
            <w:vAlign w:val="center"/>
          </w:tcPr>
          <w:p>
            <w:pPr>
              <w:spacing w:line="576" w:lineRule="exact"/>
              <w:jc w:val="center"/>
              <w:rPr>
                <w:rFonts w:hint="eastAsia" w:ascii="宋体" w:hAnsi="宋体" w:cs="宋体"/>
                <w:sz w:val="18"/>
                <w:szCs w:val="18"/>
              </w:rPr>
            </w:pPr>
            <w:r>
              <w:rPr>
                <w:rFonts w:hint="eastAsia" w:ascii="宋体" w:hAnsi="宋体" w:cs="宋体"/>
                <w:sz w:val="18"/>
                <w:szCs w:val="18"/>
              </w:rPr>
              <w:t>存在的问题</w:t>
            </w:r>
          </w:p>
        </w:tc>
        <w:tc>
          <w:tcPr>
            <w:tcW w:w="5633" w:type="dxa"/>
            <w:noWrap w:val="0"/>
            <w:vAlign w:val="center"/>
          </w:tcPr>
          <w:p>
            <w:pPr>
              <w:spacing w:line="576" w:lineRule="exact"/>
              <w:ind w:right="71" w:rightChars="34"/>
              <w:rPr>
                <w:rFonts w:hint="eastAsia" w:ascii="宋体" w:hAnsi="宋体" w:cs="宋体"/>
                <w:sz w:val="18"/>
                <w:szCs w:val="18"/>
              </w:rPr>
            </w:pPr>
            <w:r>
              <w:rPr>
                <w:rFonts w:hint="eastAsia" w:ascii="宋体" w:hAnsi="宋体" w:cs="宋体"/>
                <w:sz w:val="18"/>
                <w:szCs w:val="18"/>
              </w:rPr>
              <w:t>2020年由于疫情影响，导致消安防工程施工进度滞后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98" w:hRule="atLeast"/>
        </w:trPr>
        <w:tc>
          <w:tcPr>
            <w:tcW w:w="1557" w:type="dxa"/>
            <w:vMerge w:val="continue"/>
            <w:noWrap w:val="0"/>
            <w:vAlign w:val="top"/>
          </w:tcPr>
          <w:p>
            <w:pPr>
              <w:rPr>
                <w:rFonts w:hint="eastAsia" w:ascii="宋体" w:hAnsi="宋体" w:cs="宋体"/>
                <w:sz w:val="18"/>
                <w:szCs w:val="18"/>
              </w:rPr>
            </w:pPr>
          </w:p>
        </w:tc>
        <w:tc>
          <w:tcPr>
            <w:tcW w:w="1972" w:type="dxa"/>
            <w:noWrap w:val="0"/>
            <w:vAlign w:val="center"/>
          </w:tcPr>
          <w:p>
            <w:pPr>
              <w:spacing w:line="576" w:lineRule="exact"/>
              <w:jc w:val="center"/>
              <w:rPr>
                <w:rFonts w:hint="eastAsia" w:ascii="宋体" w:hAnsi="宋体" w:cs="宋体"/>
                <w:sz w:val="18"/>
                <w:szCs w:val="18"/>
              </w:rPr>
            </w:pPr>
            <w:r>
              <w:rPr>
                <w:rFonts w:hint="eastAsia" w:ascii="宋体" w:hAnsi="宋体" w:cs="宋体"/>
                <w:sz w:val="18"/>
                <w:szCs w:val="18"/>
              </w:rPr>
              <w:t>改进措施</w:t>
            </w:r>
          </w:p>
        </w:tc>
        <w:tc>
          <w:tcPr>
            <w:tcW w:w="5633" w:type="dxa"/>
            <w:noWrap w:val="0"/>
            <w:vAlign w:val="center"/>
          </w:tcPr>
          <w:p>
            <w:pPr>
              <w:spacing w:line="576" w:lineRule="exact"/>
              <w:ind w:right="71" w:rightChars="34"/>
              <w:rPr>
                <w:rFonts w:hint="eastAsia" w:ascii="宋体" w:hAnsi="宋体" w:cs="宋体"/>
                <w:sz w:val="18"/>
                <w:szCs w:val="18"/>
              </w:rPr>
            </w:pPr>
            <w:r>
              <w:rPr>
                <w:rFonts w:hint="eastAsia" w:ascii="宋体" w:hAnsi="宋体" w:cs="宋体"/>
                <w:sz w:val="18"/>
                <w:szCs w:val="18"/>
              </w:rPr>
              <w:t>2021年下半年，抢时间，保质保量已完成消安防工程全部工作。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trPr>
        <w:tc>
          <w:tcPr>
            <w:tcW w:w="1557" w:type="dxa"/>
            <w:vMerge w:val="continue"/>
            <w:noWrap w:val="0"/>
            <w:vAlign w:val="top"/>
          </w:tcPr>
          <w:p>
            <w:pPr>
              <w:rPr>
                <w:rFonts w:hint="eastAsia" w:ascii="宋体" w:hAnsi="宋体" w:cs="宋体"/>
                <w:sz w:val="18"/>
                <w:szCs w:val="18"/>
              </w:rPr>
            </w:pPr>
          </w:p>
        </w:tc>
        <w:tc>
          <w:tcPr>
            <w:tcW w:w="1972" w:type="dxa"/>
            <w:noWrap w:val="0"/>
            <w:vAlign w:val="center"/>
          </w:tcPr>
          <w:p>
            <w:pPr>
              <w:spacing w:line="576" w:lineRule="exact"/>
              <w:jc w:val="center"/>
              <w:rPr>
                <w:rFonts w:hint="eastAsia" w:ascii="宋体" w:hAnsi="宋体" w:cs="宋体"/>
                <w:sz w:val="18"/>
                <w:szCs w:val="18"/>
              </w:rPr>
            </w:pPr>
            <w:r>
              <w:rPr>
                <w:rFonts w:hint="eastAsia" w:ascii="宋体" w:hAnsi="宋体" w:cs="宋体"/>
                <w:sz w:val="18"/>
                <w:szCs w:val="18"/>
              </w:rPr>
              <w:t>其他需要说明问题</w:t>
            </w:r>
          </w:p>
        </w:tc>
        <w:tc>
          <w:tcPr>
            <w:tcW w:w="5633" w:type="dxa"/>
            <w:noWrap w:val="0"/>
            <w:vAlign w:val="center"/>
          </w:tcPr>
          <w:p>
            <w:pPr>
              <w:spacing w:line="576" w:lineRule="exact"/>
              <w:ind w:right="71" w:rightChars="34"/>
              <w:rPr>
                <w:rFonts w:hint="eastAsia" w:ascii="宋体" w:hAnsi="宋体" w:cs="宋体"/>
                <w:sz w:val="18"/>
                <w:szCs w:val="18"/>
              </w:rPr>
            </w:pPr>
            <w:r>
              <w:rPr>
                <w:rFonts w:hint="eastAsia" w:ascii="宋体" w:hAnsi="宋体" w:cs="宋体"/>
                <w:sz w:val="18"/>
                <w:szCs w:val="18"/>
              </w:rPr>
              <w:t>无</w:t>
            </w:r>
          </w:p>
        </w:tc>
      </w:tr>
    </w:tbl>
    <w:p>
      <w:pPr>
        <w:jc w:val="left"/>
        <w:rPr>
          <w:rFonts w:hint="eastAsia" w:ascii="宋体" w:hAnsi="宋体" w:cs="宋体"/>
          <w:sz w:val="18"/>
          <w:szCs w:val="18"/>
        </w:rPr>
      </w:pPr>
    </w:p>
    <w:p>
      <w:pPr>
        <w:jc w:val="left"/>
        <w:rPr>
          <w:rFonts w:hint="eastAsia" w:ascii="宋体" w:hAnsi="宋体" w:cs="宋体"/>
          <w:sz w:val="18"/>
          <w:szCs w:val="18"/>
        </w:rPr>
      </w:pPr>
    </w:p>
    <w:p>
      <w:pPr>
        <w:jc w:val="left"/>
        <w:rPr>
          <w:rFonts w:hint="eastAsia" w:ascii="宋体" w:hAnsi="宋体" w:cs="宋体"/>
          <w:sz w:val="18"/>
          <w:szCs w:val="18"/>
        </w:rPr>
      </w:pPr>
    </w:p>
    <w:p>
      <w:pPr>
        <w:jc w:val="left"/>
        <w:rPr>
          <w:rFonts w:hint="eastAsia" w:ascii="宋体" w:hAnsi="宋体" w:cs="宋体"/>
          <w:sz w:val="18"/>
          <w:szCs w:val="18"/>
        </w:rPr>
      </w:pPr>
    </w:p>
    <w:p>
      <w:pPr>
        <w:jc w:val="left"/>
        <w:rPr>
          <w:rFonts w:hint="eastAsia" w:ascii="宋体" w:hAnsi="宋体" w:cs="宋体"/>
          <w:sz w:val="18"/>
          <w:szCs w:val="18"/>
        </w:rPr>
      </w:pPr>
    </w:p>
    <w:p>
      <w:pPr>
        <w:jc w:val="left"/>
        <w:rPr>
          <w:rFonts w:hint="eastAsia" w:ascii="宋体" w:hAnsi="宋体" w:cs="宋体"/>
          <w:sz w:val="18"/>
          <w:szCs w:val="18"/>
        </w:rPr>
      </w:pPr>
    </w:p>
    <w:p>
      <w:pPr>
        <w:jc w:val="left"/>
        <w:rPr>
          <w:rFonts w:hint="eastAsia" w:ascii="宋体" w:hAnsi="宋体" w:cs="宋体"/>
          <w:sz w:val="18"/>
          <w:szCs w:val="18"/>
        </w:rPr>
      </w:pPr>
    </w:p>
    <w:p>
      <w:pPr>
        <w:jc w:val="left"/>
        <w:rPr>
          <w:rFonts w:hint="eastAsia" w:ascii="宋体" w:hAnsi="宋体" w:cs="宋体"/>
          <w:sz w:val="18"/>
          <w:szCs w:val="18"/>
        </w:rPr>
      </w:pPr>
    </w:p>
    <w:p>
      <w:pPr>
        <w:jc w:val="left"/>
        <w:rPr>
          <w:rFonts w:hint="eastAsia" w:ascii="宋体" w:hAnsi="宋体" w:cs="宋体"/>
          <w:sz w:val="18"/>
          <w:szCs w:val="18"/>
        </w:rPr>
      </w:pPr>
    </w:p>
    <w:p>
      <w:pPr>
        <w:jc w:val="left"/>
        <w:rPr>
          <w:rFonts w:hint="eastAsia" w:ascii="宋体" w:hAnsi="宋体" w:cs="宋体"/>
          <w:sz w:val="18"/>
          <w:szCs w:val="18"/>
        </w:rPr>
      </w:pPr>
    </w:p>
    <w:p>
      <w:pPr>
        <w:jc w:val="left"/>
        <w:rPr>
          <w:rFonts w:hint="eastAsia" w:ascii="宋体" w:hAnsi="宋体" w:cs="宋体"/>
          <w:sz w:val="18"/>
          <w:szCs w:val="18"/>
        </w:rPr>
      </w:pPr>
    </w:p>
    <w:p>
      <w:pPr>
        <w:jc w:val="left"/>
        <w:rPr>
          <w:rFonts w:hint="eastAsia" w:ascii="宋体" w:hAnsi="宋体" w:cs="宋体"/>
          <w:sz w:val="18"/>
          <w:szCs w:val="18"/>
        </w:rPr>
      </w:pPr>
    </w:p>
    <w:p>
      <w:pPr>
        <w:jc w:val="left"/>
        <w:rPr>
          <w:rFonts w:hint="eastAsia" w:ascii="宋体" w:hAnsi="宋体" w:cs="宋体"/>
          <w:sz w:val="18"/>
          <w:szCs w:val="18"/>
        </w:rPr>
      </w:pPr>
    </w:p>
    <w:p>
      <w:pPr>
        <w:jc w:val="left"/>
        <w:rPr>
          <w:rFonts w:hint="eastAsia" w:ascii="宋体" w:hAnsi="宋体" w:cs="宋体"/>
          <w:sz w:val="18"/>
          <w:szCs w:val="18"/>
        </w:rPr>
      </w:pPr>
    </w:p>
    <w:p>
      <w:pPr>
        <w:jc w:val="left"/>
        <w:rPr>
          <w:rFonts w:hint="eastAsia" w:ascii="宋体" w:hAnsi="宋体" w:cs="宋体"/>
          <w:sz w:val="18"/>
          <w:szCs w:val="18"/>
        </w:rPr>
      </w:pPr>
    </w:p>
    <w:p>
      <w:pPr>
        <w:jc w:val="left"/>
        <w:rPr>
          <w:rFonts w:hint="eastAsia" w:ascii="宋体" w:hAnsi="宋体" w:cs="宋体"/>
          <w:sz w:val="18"/>
          <w:szCs w:val="18"/>
        </w:rPr>
      </w:pPr>
    </w:p>
    <w:p>
      <w:pPr>
        <w:jc w:val="left"/>
        <w:rPr>
          <w:rFonts w:hint="eastAsia" w:ascii="宋体" w:hAnsi="宋体" w:cs="宋体"/>
          <w:sz w:val="18"/>
          <w:szCs w:val="18"/>
        </w:rPr>
      </w:pPr>
    </w:p>
    <w:p>
      <w:pPr>
        <w:jc w:val="left"/>
        <w:rPr>
          <w:rFonts w:hint="eastAsia" w:ascii="宋体" w:hAnsi="宋体" w:cs="宋体"/>
          <w:sz w:val="18"/>
          <w:szCs w:val="18"/>
        </w:rPr>
      </w:pPr>
    </w:p>
    <w:p>
      <w:pPr>
        <w:jc w:val="left"/>
        <w:rPr>
          <w:rFonts w:hint="eastAsia" w:ascii="宋体" w:hAnsi="宋体" w:cs="宋体"/>
          <w:sz w:val="18"/>
          <w:szCs w:val="18"/>
        </w:rPr>
      </w:pPr>
    </w:p>
    <w:p>
      <w:pPr>
        <w:jc w:val="left"/>
        <w:rPr>
          <w:rFonts w:hint="eastAsia" w:ascii="宋体" w:hAnsi="宋体" w:cs="宋体"/>
          <w:sz w:val="18"/>
          <w:szCs w:val="18"/>
        </w:rPr>
      </w:pPr>
    </w:p>
    <w:p>
      <w:pPr>
        <w:jc w:val="left"/>
        <w:rPr>
          <w:rFonts w:hint="eastAsia" w:ascii="宋体" w:hAnsi="宋体" w:cs="宋体"/>
          <w:sz w:val="18"/>
          <w:szCs w:val="18"/>
        </w:rPr>
      </w:pPr>
    </w:p>
    <w:p>
      <w:pPr>
        <w:jc w:val="left"/>
        <w:rPr>
          <w:rFonts w:hint="eastAsia" w:ascii="宋体" w:hAnsi="宋体" w:cs="宋体"/>
          <w:sz w:val="18"/>
          <w:szCs w:val="18"/>
        </w:rPr>
      </w:pPr>
    </w:p>
    <w:p>
      <w:pPr>
        <w:jc w:val="left"/>
        <w:rPr>
          <w:rFonts w:hint="eastAsia" w:ascii="宋体" w:hAnsi="宋体" w:cs="宋体"/>
          <w:sz w:val="18"/>
          <w:szCs w:val="18"/>
        </w:rPr>
      </w:pPr>
    </w:p>
    <w:p>
      <w:pPr>
        <w:jc w:val="left"/>
        <w:rPr>
          <w:rFonts w:hint="eastAsia" w:ascii="宋体" w:hAnsi="宋体" w:cs="宋体"/>
          <w:sz w:val="18"/>
          <w:szCs w:val="18"/>
        </w:rPr>
      </w:pPr>
    </w:p>
    <w:p>
      <w:pPr>
        <w:jc w:val="left"/>
        <w:rPr>
          <w:rFonts w:hint="eastAsia" w:ascii="宋体" w:hAnsi="宋体" w:cs="宋体"/>
          <w:sz w:val="18"/>
          <w:szCs w:val="18"/>
        </w:rPr>
      </w:pPr>
    </w:p>
    <w:p>
      <w:pPr>
        <w:jc w:val="left"/>
        <w:rPr>
          <w:rFonts w:hint="eastAsia" w:ascii="宋体" w:hAnsi="宋体" w:cs="宋体"/>
          <w:sz w:val="18"/>
          <w:szCs w:val="18"/>
        </w:rPr>
      </w:pPr>
    </w:p>
    <w:p>
      <w:pPr>
        <w:jc w:val="left"/>
        <w:rPr>
          <w:rFonts w:hint="eastAsia" w:ascii="宋体" w:hAnsi="宋体" w:cs="宋体"/>
          <w:sz w:val="18"/>
          <w:szCs w:val="18"/>
        </w:rPr>
      </w:pPr>
    </w:p>
    <w:p>
      <w:pPr>
        <w:jc w:val="left"/>
        <w:rPr>
          <w:rFonts w:hint="eastAsia" w:ascii="宋体" w:hAnsi="宋体" w:cs="宋体"/>
          <w:sz w:val="18"/>
          <w:szCs w:val="18"/>
        </w:rPr>
      </w:pPr>
    </w:p>
    <w:p>
      <w:pPr>
        <w:jc w:val="left"/>
        <w:rPr>
          <w:rFonts w:hint="eastAsia" w:ascii="宋体" w:hAnsi="宋体" w:cs="宋体"/>
          <w:sz w:val="18"/>
          <w:szCs w:val="18"/>
        </w:rPr>
      </w:pPr>
    </w:p>
    <w:p>
      <w:pPr>
        <w:jc w:val="left"/>
        <w:rPr>
          <w:rFonts w:hint="eastAsia" w:ascii="宋体" w:hAnsi="宋体" w:cs="宋体"/>
          <w:sz w:val="18"/>
          <w:szCs w:val="18"/>
        </w:rPr>
      </w:pPr>
    </w:p>
    <w:p>
      <w:pPr>
        <w:jc w:val="left"/>
        <w:rPr>
          <w:rFonts w:hint="eastAsia" w:ascii="宋体" w:hAnsi="宋体" w:cs="宋体"/>
          <w:sz w:val="18"/>
          <w:szCs w:val="18"/>
        </w:rPr>
      </w:pPr>
    </w:p>
    <w:p>
      <w:pPr>
        <w:jc w:val="left"/>
        <w:rPr>
          <w:rFonts w:hint="eastAsia" w:ascii="宋体" w:hAnsi="宋体" w:cs="宋体"/>
          <w:sz w:val="18"/>
          <w:szCs w:val="18"/>
        </w:rPr>
      </w:pPr>
    </w:p>
    <w:p>
      <w:pPr>
        <w:jc w:val="left"/>
        <w:rPr>
          <w:rFonts w:hint="eastAsia" w:ascii="宋体" w:hAnsi="宋体" w:cs="宋体"/>
          <w:sz w:val="18"/>
          <w:szCs w:val="18"/>
        </w:rPr>
      </w:pPr>
    </w:p>
    <w:p>
      <w:pPr>
        <w:jc w:val="left"/>
        <w:rPr>
          <w:rFonts w:hint="eastAsia" w:ascii="宋体" w:hAnsi="宋体" w:cs="宋体"/>
          <w:sz w:val="18"/>
          <w:szCs w:val="18"/>
        </w:rPr>
      </w:pPr>
    </w:p>
    <w:p>
      <w:pPr>
        <w:jc w:val="left"/>
        <w:rPr>
          <w:rFonts w:hint="eastAsia" w:ascii="宋体" w:hAnsi="宋体" w:cs="宋体"/>
          <w:sz w:val="18"/>
          <w:szCs w:val="18"/>
        </w:rPr>
      </w:pPr>
    </w:p>
    <w:p>
      <w:pPr>
        <w:jc w:val="left"/>
        <w:rPr>
          <w:rFonts w:hint="eastAsia" w:ascii="宋体" w:hAnsi="宋体" w:cs="宋体"/>
          <w:sz w:val="18"/>
          <w:szCs w:val="18"/>
        </w:rPr>
      </w:pPr>
    </w:p>
    <w:p>
      <w:pPr>
        <w:jc w:val="left"/>
        <w:rPr>
          <w:rFonts w:hint="eastAsia" w:ascii="宋体" w:hAnsi="宋体" w:cs="宋体"/>
          <w:sz w:val="18"/>
          <w:szCs w:val="18"/>
        </w:rPr>
      </w:pPr>
    </w:p>
    <w:p>
      <w:pPr>
        <w:jc w:val="left"/>
        <w:rPr>
          <w:rFonts w:hint="eastAsia" w:ascii="宋体" w:hAnsi="宋体" w:cs="宋体"/>
          <w:sz w:val="18"/>
          <w:szCs w:val="18"/>
        </w:rPr>
      </w:pPr>
      <w:r>
        <w:rPr>
          <w:rFonts w:hint="eastAsia" w:ascii="宋体" w:hAnsi="宋体" w:cs="宋体"/>
          <w:sz w:val="18"/>
          <w:szCs w:val="18"/>
        </w:rPr>
        <w:t>备注：每个项目支出分别填报自评报告和自评表。</w:t>
      </w:r>
    </w:p>
    <w:p>
      <w:pPr>
        <w:pStyle w:val="2"/>
        <w:rPr>
          <w:rFonts w:ascii="Times New Roman" w:hAnsi="Times New Roman" w:eastAsia="仿宋_GB2312"/>
          <w:sz w:val="22"/>
        </w:rPr>
      </w:pPr>
    </w:p>
    <w:p>
      <w:pPr>
        <w:pStyle w:val="2"/>
        <w:rPr>
          <w:rFonts w:ascii="Times New Roman" w:hAnsi="Times New Roman" w:eastAsia="黑体"/>
          <w:color w:val="000000"/>
          <w:sz w:val="32"/>
          <w:szCs w:val="32"/>
        </w:rPr>
      </w:pPr>
      <w:r>
        <w:rPr>
          <w:rFonts w:ascii="Times New Roman" w:hAnsi="Times New Roman" w:eastAsia="仿宋_GB2312"/>
          <w:sz w:val="22"/>
        </w:rPr>
        <w:t>填表人：</w:t>
      </w:r>
      <w:r>
        <w:rPr>
          <w:rFonts w:hint="eastAsia" w:ascii="Times New Roman" w:hAnsi="Times New Roman" w:eastAsia="仿宋_GB2312"/>
          <w:sz w:val="22"/>
        </w:rPr>
        <w:t>刘青</w:t>
      </w:r>
      <w:r>
        <w:rPr>
          <w:rFonts w:ascii="Times New Roman" w:hAnsi="Times New Roman" w:eastAsia="仿宋_GB2312"/>
          <w:sz w:val="22"/>
        </w:rPr>
        <w:t xml:space="preserve">  填报日期：</w:t>
      </w:r>
      <w:r>
        <w:rPr>
          <w:rFonts w:hint="eastAsia" w:ascii="Times New Roman" w:hAnsi="Times New Roman" w:eastAsia="仿宋_GB2312"/>
          <w:sz w:val="22"/>
        </w:rPr>
        <w:t>2022年4月16日</w:t>
      </w:r>
      <w:r>
        <w:rPr>
          <w:rFonts w:ascii="Times New Roman" w:hAnsi="Times New Roman" w:eastAsia="仿宋_GB2312"/>
          <w:sz w:val="22"/>
        </w:rPr>
        <w:t xml:space="preserve"> 联系电话： </w:t>
      </w:r>
      <w:r>
        <w:rPr>
          <w:rFonts w:hint="eastAsia" w:ascii="Times New Roman" w:hAnsi="Times New Roman" w:eastAsia="仿宋_GB2312"/>
          <w:sz w:val="22"/>
        </w:rPr>
        <w:t>13873563276</w:t>
      </w:r>
      <w:r>
        <w:rPr>
          <w:rFonts w:ascii="Times New Roman" w:hAnsi="Times New Roman" w:eastAsia="仿宋_GB2312"/>
          <w:sz w:val="22"/>
        </w:rPr>
        <w:t xml:space="preserve">  单位负责人签字：</w:t>
      </w:r>
    </w:p>
    <w:p>
      <w:pPr>
        <w:spacing w:line="600" w:lineRule="exact"/>
        <w:jc w:val="left"/>
        <w:rPr>
          <w:rFonts w:ascii="Times New Roman" w:hAnsi="Times New Roman" w:eastAsia="黑体"/>
          <w:sz w:val="32"/>
          <w:szCs w:val="32"/>
        </w:rPr>
      </w:pPr>
    </w:p>
    <w:p>
      <w:pPr>
        <w:spacing w:line="600" w:lineRule="exact"/>
        <w:jc w:val="left"/>
        <w:rPr>
          <w:rFonts w:ascii="Times New Roman" w:hAnsi="Times New Roman" w:eastAsia="黑体"/>
          <w:sz w:val="32"/>
          <w:szCs w:val="32"/>
        </w:rPr>
      </w:pPr>
      <w:r>
        <w:rPr>
          <w:rFonts w:ascii="Times New Roman" w:hAnsi="Times New Roman" w:eastAsia="黑体"/>
          <w:sz w:val="32"/>
          <w:szCs w:val="32"/>
        </w:rPr>
        <w:t>附件5</w:t>
      </w:r>
    </w:p>
    <w:p>
      <w:pPr>
        <w:spacing w:after="120" w:afterLines="50" w:line="600" w:lineRule="exact"/>
        <w:jc w:val="center"/>
        <w:rPr>
          <w:rFonts w:ascii="方正小标宋简体" w:hAnsi="Times New Roman" w:eastAsia="方正小标宋简体"/>
          <w:sz w:val="44"/>
          <w:szCs w:val="44"/>
        </w:rPr>
      </w:pPr>
      <w:r>
        <w:rPr>
          <w:rFonts w:ascii="方正小标宋简体" w:hAnsi="Times New Roman" w:eastAsia="方正小标宋简体"/>
          <w:sz w:val="44"/>
          <w:szCs w:val="44"/>
        </w:rPr>
        <w:t>2021年度项目支出绩效自评表</w:t>
      </w:r>
    </w:p>
    <w:tbl>
      <w:tblPr>
        <w:tblStyle w:val="7"/>
        <w:tblW w:w="945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921"/>
        <w:gridCol w:w="1085"/>
        <w:gridCol w:w="1085"/>
        <w:gridCol w:w="1230"/>
        <w:gridCol w:w="1140"/>
        <w:gridCol w:w="1140"/>
        <w:gridCol w:w="832"/>
        <w:gridCol w:w="877"/>
        <w:gridCol w:w="11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57" w:hRule="atLeast"/>
          <w:jc w:val="center"/>
        </w:trPr>
        <w:tc>
          <w:tcPr>
            <w:tcW w:w="921" w:type="dxa"/>
            <w:noWrap w:val="0"/>
            <w:vAlign w:val="center"/>
          </w:tcPr>
          <w:p>
            <w:pPr>
              <w:spacing w:line="26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项目支</w:t>
            </w:r>
          </w:p>
          <w:p>
            <w:pPr>
              <w:spacing w:line="26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出名称</w:t>
            </w:r>
          </w:p>
        </w:tc>
        <w:tc>
          <w:tcPr>
            <w:tcW w:w="8535" w:type="dxa"/>
            <w:gridSpan w:val="8"/>
            <w:noWrap w:val="0"/>
            <w:vAlign w:val="center"/>
          </w:tcPr>
          <w:p>
            <w:pPr>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湘南起义旧址-郴县苏维埃政府（陈家大屋保护)修缮、消防及安防工程</w:t>
            </w:r>
            <w:r>
              <w:rPr>
                <w:rFonts w:ascii="Times New Roman" w:hAnsi="Times New Roman" w:eastAsia="仿宋_GB2312"/>
                <w:color w:val="00000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8" w:hRule="atLeast"/>
          <w:jc w:val="center"/>
        </w:trPr>
        <w:tc>
          <w:tcPr>
            <w:tcW w:w="921"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主管部门</w:t>
            </w:r>
          </w:p>
        </w:tc>
        <w:tc>
          <w:tcPr>
            <w:tcW w:w="4540" w:type="dxa"/>
            <w:gridSpan w:val="4"/>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sz w:val="18"/>
                <w:szCs w:val="18"/>
              </w:rPr>
              <w:t>郴州市文化旅游广电体育局</w:t>
            </w:r>
          </w:p>
        </w:tc>
        <w:tc>
          <w:tcPr>
            <w:tcW w:w="114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实施单位</w:t>
            </w:r>
          </w:p>
        </w:tc>
        <w:tc>
          <w:tcPr>
            <w:tcW w:w="2855" w:type="dxa"/>
            <w:gridSpan w:val="3"/>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郴州市烈士公园（湘南起义纪念馆）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1" w:hRule="atLeast"/>
          <w:jc w:val="center"/>
        </w:trPr>
        <w:tc>
          <w:tcPr>
            <w:tcW w:w="921" w:type="dxa"/>
            <w:vMerge w:val="restart"/>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项目资金</w:t>
            </w:r>
          </w:p>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（万元）</w:t>
            </w:r>
          </w:p>
        </w:tc>
        <w:tc>
          <w:tcPr>
            <w:tcW w:w="2170" w:type="dxa"/>
            <w:gridSpan w:val="2"/>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123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年初</w:t>
            </w:r>
          </w:p>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预算数</w:t>
            </w:r>
          </w:p>
        </w:tc>
        <w:tc>
          <w:tcPr>
            <w:tcW w:w="114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全年</w:t>
            </w:r>
          </w:p>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预算数</w:t>
            </w:r>
          </w:p>
        </w:tc>
        <w:tc>
          <w:tcPr>
            <w:tcW w:w="1140"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全年</w:t>
            </w:r>
          </w:p>
          <w:p>
            <w:pPr>
              <w:jc w:val="center"/>
              <w:rPr>
                <w:rFonts w:ascii="Times New Roman" w:hAnsi="Times New Roman" w:eastAsia="仿宋_GB2312"/>
                <w:sz w:val="18"/>
                <w:szCs w:val="18"/>
              </w:rPr>
            </w:pPr>
            <w:r>
              <w:rPr>
                <w:rFonts w:ascii="Times New Roman" w:hAnsi="Times New Roman" w:eastAsia="仿宋_GB2312"/>
                <w:sz w:val="18"/>
                <w:szCs w:val="18"/>
              </w:rPr>
              <w:t>执行数</w:t>
            </w:r>
          </w:p>
        </w:tc>
        <w:tc>
          <w:tcPr>
            <w:tcW w:w="832"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分值</w:t>
            </w:r>
          </w:p>
        </w:tc>
        <w:tc>
          <w:tcPr>
            <w:tcW w:w="87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执行率</w:t>
            </w:r>
          </w:p>
        </w:tc>
        <w:tc>
          <w:tcPr>
            <w:tcW w:w="114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center"/>
              <w:rPr>
                <w:rFonts w:ascii="Times New Roman" w:hAnsi="Times New Roman" w:eastAsia="仿宋_GB2312"/>
                <w:color w:val="000000"/>
                <w:sz w:val="18"/>
                <w:szCs w:val="18"/>
              </w:rPr>
            </w:pPr>
          </w:p>
        </w:tc>
        <w:tc>
          <w:tcPr>
            <w:tcW w:w="2170" w:type="dxa"/>
            <w:gridSpan w:val="2"/>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年度资金总额　</w:t>
            </w:r>
          </w:p>
        </w:tc>
        <w:tc>
          <w:tcPr>
            <w:tcW w:w="1230"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0</w:t>
            </w:r>
          </w:p>
        </w:tc>
        <w:tc>
          <w:tcPr>
            <w:tcW w:w="1140"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130.25</w:t>
            </w:r>
          </w:p>
        </w:tc>
        <w:tc>
          <w:tcPr>
            <w:tcW w:w="1140" w:type="dxa"/>
            <w:noWrap w:val="0"/>
            <w:vAlign w:val="center"/>
          </w:tcPr>
          <w:p>
            <w:pPr>
              <w:ind w:firstLine="180" w:firstLineChars="100"/>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130.25</w:t>
            </w:r>
            <w:r>
              <w:rPr>
                <w:rFonts w:ascii="Times New Roman" w:hAnsi="Times New Roman" w:eastAsia="仿宋_GB2312"/>
                <w:color w:val="000000"/>
                <w:sz w:val="18"/>
                <w:szCs w:val="18"/>
              </w:rPr>
              <w:t>　</w:t>
            </w:r>
          </w:p>
        </w:tc>
        <w:tc>
          <w:tcPr>
            <w:tcW w:w="832"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10</w:t>
            </w:r>
          </w:p>
        </w:tc>
        <w:tc>
          <w:tcPr>
            <w:tcW w:w="877"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100%</w:t>
            </w:r>
          </w:p>
        </w:tc>
        <w:tc>
          <w:tcPr>
            <w:tcW w:w="1146"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center"/>
              <w:rPr>
                <w:rFonts w:ascii="Times New Roman" w:hAnsi="Times New Roman" w:eastAsia="仿宋_GB2312"/>
                <w:color w:val="000000"/>
                <w:sz w:val="18"/>
                <w:szCs w:val="18"/>
              </w:rPr>
            </w:pPr>
          </w:p>
        </w:tc>
        <w:tc>
          <w:tcPr>
            <w:tcW w:w="2170" w:type="dxa"/>
            <w:gridSpan w:val="2"/>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其中：当年财政拨款　</w:t>
            </w:r>
          </w:p>
        </w:tc>
        <w:tc>
          <w:tcPr>
            <w:tcW w:w="1230"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1140"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74.86</w:t>
            </w:r>
          </w:p>
        </w:tc>
        <w:tc>
          <w:tcPr>
            <w:tcW w:w="1140" w:type="dxa"/>
            <w:noWrap w:val="0"/>
            <w:vAlign w:val="center"/>
          </w:tcPr>
          <w:p>
            <w:pPr>
              <w:ind w:firstLine="180" w:firstLineChars="100"/>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130.25</w:t>
            </w:r>
            <w:r>
              <w:rPr>
                <w:rFonts w:ascii="Times New Roman" w:hAnsi="Times New Roman" w:eastAsia="仿宋_GB2312"/>
                <w:color w:val="000000"/>
                <w:sz w:val="18"/>
                <w:szCs w:val="18"/>
              </w:rPr>
              <w:t>　</w:t>
            </w:r>
          </w:p>
        </w:tc>
        <w:tc>
          <w:tcPr>
            <w:tcW w:w="832"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10</w:t>
            </w:r>
          </w:p>
        </w:tc>
        <w:tc>
          <w:tcPr>
            <w:tcW w:w="877"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100%</w:t>
            </w:r>
          </w:p>
        </w:tc>
        <w:tc>
          <w:tcPr>
            <w:tcW w:w="1146"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center"/>
              <w:rPr>
                <w:rFonts w:ascii="Times New Roman" w:hAnsi="Times New Roman" w:eastAsia="仿宋_GB2312"/>
                <w:color w:val="000000"/>
                <w:sz w:val="18"/>
                <w:szCs w:val="18"/>
              </w:rPr>
            </w:pPr>
          </w:p>
        </w:tc>
        <w:tc>
          <w:tcPr>
            <w:tcW w:w="2170" w:type="dxa"/>
            <w:gridSpan w:val="2"/>
            <w:noWrap w:val="0"/>
            <w:vAlign w:val="center"/>
          </w:tcPr>
          <w:p>
            <w:pPr>
              <w:ind w:firstLine="540" w:firstLineChars="300"/>
              <w:jc w:val="left"/>
              <w:rPr>
                <w:rFonts w:ascii="Times New Roman" w:hAnsi="Times New Roman" w:eastAsia="仿宋_GB2312"/>
                <w:color w:val="000000"/>
                <w:sz w:val="18"/>
                <w:szCs w:val="18"/>
              </w:rPr>
            </w:pPr>
            <w:r>
              <w:rPr>
                <w:rFonts w:ascii="Times New Roman" w:hAnsi="Times New Roman" w:eastAsia="仿宋_GB2312"/>
                <w:color w:val="000000"/>
                <w:sz w:val="18"/>
                <w:szCs w:val="18"/>
              </w:rPr>
              <w:t>上年结转资金　</w:t>
            </w:r>
          </w:p>
        </w:tc>
        <w:tc>
          <w:tcPr>
            <w:tcW w:w="1230"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1140"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55.39</w:t>
            </w:r>
          </w:p>
        </w:tc>
        <w:tc>
          <w:tcPr>
            <w:tcW w:w="1140"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832"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877"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1146"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center"/>
              <w:rPr>
                <w:rFonts w:ascii="Times New Roman" w:hAnsi="Times New Roman" w:eastAsia="仿宋_GB2312"/>
                <w:color w:val="000000"/>
                <w:sz w:val="18"/>
                <w:szCs w:val="18"/>
              </w:rPr>
            </w:pPr>
          </w:p>
        </w:tc>
        <w:tc>
          <w:tcPr>
            <w:tcW w:w="2170" w:type="dxa"/>
            <w:gridSpan w:val="2"/>
            <w:noWrap w:val="0"/>
            <w:vAlign w:val="center"/>
          </w:tcPr>
          <w:p>
            <w:pPr>
              <w:ind w:firstLine="540" w:firstLineChars="300"/>
              <w:jc w:val="left"/>
              <w:rPr>
                <w:rFonts w:ascii="Times New Roman" w:hAnsi="Times New Roman" w:eastAsia="仿宋_GB2312"/>
                <w:color w:val="000000"/>
                <w:sz w:val="18"/>
                <w:szCs w:val="18"/>
              </w:rPr>
            </w:pPr>
            <w:r>
              <w:rPr>
                <w:rFonts w:ascii="Times New Roman" w:hAnsi="Times New Roman" w:eastAsia="仿宋_GB2312"/>
                <w:color w:val="000000"/>
                <w:sz w:val="18"/>
                <w:szCs w:val="18"/>
              </w:rPr>
              <w:t>其他资金</w:t>
            </w:r>
          </w:p>
        </w:tc>
        <w:tc>
          <w:tcPr>
            <w:tcW w:w="1230"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1140"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1140"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832"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877"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1146"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9" w:hRule="atLeast"/>
          <w:jc w:val="center"/>
        </w:trPr>
        <w:tc>
          <w:tcPr>
            <w:tcW w:w="921" w:type="dxa"/>
            <w:vMerge w:val="restart"/>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年度总体目标</w:t>
            </w:r>
          </w:p>
        </w:tc>
        <w:tc>
          <w:tcPr>
            <w:tcW w:w="4540" w:type="dxa"/>
            <w:gridSpan w:val="4"/>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预期目标</w:t>
            </w:r>
          </w:p>
        </w:tc>
        <w:tc>
          <w:tcPr>
            <w:tcW w:w="3995" w:type="dxa"/>
            <w:gridSpan w:val="4"/>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实际完成情况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center"/>
              <w:rPr>
                <w:rFonts w:ascii="Times New Roman" w:hAnsi="Times New Roman" w:eastAsia="仿宋_GB2312"/>
                <w:color w:val="000000"/>
                <w:sz w:val="18"/>
                <w:szCs w:val="18"/>
              </w:rPr>
            </w:pPr>
          </w:p>
        </w:tc>
        <w:tc>
          <w:tcPr>
            <w:tcW w:w="4540" w:type="dxa"/>
            <w:gridSpan w:val="4"/>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对国保单位陈家大屋进旧址行修缮维护、对陈家大屋旧址以及周边环境安防消防隐患进行排查清零。</w:t>
            </w:r>
            <w:r>
              <w:rPr>
                <w:rFonts w:ascii="Times New Roman" w:hAnsi="Times New Roman" w:eastAsia="仿宋_GB2312"/>
                <w:color w:val="000000"/>
                <w:sz w:val="18"/>
                <w:szCs w:val="18"/>
              </w:rPr>
              <w:t>　</w:t>
            </w:r>
          </w:p>
        </w:tc>
        <w:tc>
          <w:tcPr>
            <w:tcW w:w="3995" w:type="dxa"/>
            <w:gridSpan w:val="4"/>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2021年对陈家大屋旧址整体进了了提质改造，加强了陈家大屋旧址的保护利用与管理。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40" w:hRule="atLeast"/>
          <w:jc w:val="center"/>
        </w:trPr>
        <w:tc>
          <w:tcPr>
            <w:tcW w:w="921" w:type="dxa"/>
            <w:vMerge w:val="restart"/>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绩</w:t>
            </w:r>
          </w:p>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效</w:t>
            </w:r>
          </w:p>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指</w:t>
            </w:r>
          </w:p>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标</w:t>
            </w:r>
          </w:p>
        </w:tc>
        <w:tc>
          <w:tcPr>
            <w:tcW w:w="1085" w:type="dxa"/>
            <w:noWrap w:val="0"/>
            <w:vAlign w:val="center"/>
          </w:tcPr>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一级指标</w:t>
            </w:r>
          </w:p>
        </w:tc>
        <w:tc>
          <w:tcPr>
            <w:tcW w:w="1085" w:type="dxa"/>
            <w:noWrap w:val="0"/>
            <w:vAlign w:val="center"/>
          </w:tcPr>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二级指标</w:t>
            </w:r>
          </w:p>
        </w:tc>
        <w:tc>
          <w:tcPr>
            <w:tcW w:w="1230" w:type="dxa"/>
            <w:noWrap w:val="0"/>
            <w:vAlign w:val="center"/>
          </w:tcPr>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三级指标</w:t>
            </w:r>
          </w:p>
        </w:tc>
        <w:tc>
          <w:tcPr>
            <w:tcW w:w="1140" w:type="dxa"/>
            <w:noWrap w:val="0"/>
            <w:vAlign w:val="center"/>
          </w:tcPr>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年度</w:t>
            </w:r>
          </w:p>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指标值</w:t>
            </w:r>
          </w:p>
        </w:tc>
        <w:tc>
          <w:tcPr>
            <w:tcW w:w="1140" w:type="dxa"/>
            <w:noWrap w:val="0"/>
            <w:vAlign w:val="center"/>
          </w:tcPr>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实际</w:t>
            </w:r>
          </w:p>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完成值</w:t>
            </w:r>
          </w:p>
        </w:tc>
        <w:tc>
          <w:tcPr>
            <w:tcW w:w="832" w:type="dxa"/>
            <w:noWrap w:val="0"/>
            <w:vAlign w:val="center"/>
          </w:tcPr>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分值</w:t>
            </w:r>
          </w:p>
        </w:tc>
        <w:tc>
          <w:tcPr>
            <w:tcW w:w="877" w:type="dxa"/>
            <w:noWrap w:val="0"/>
            <w:vAlign w:val="center"/>
          </w:tcPr>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得分</w:t>
            </w:r>
          </w:p>
        </w:tc>
        <w:tc>
          <w:tcPr>
            <w:tcW w:w="1146" w:type="dxa"/>
            <w:noWrap w:val="0"/>
            <w:vAlign w:val="center"/>
          </w:tcPr>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偏差原因</w:t>
            </w:r>
          </w:p>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分析及</w:t>
            </w:r>
          </w:p>
          <w:p>
            <w:pPr>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改进措施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ascii="Times New Roman" w:hAnsi="Times New Roman" w:eastAsia="仿宋_GB2312"/>
                <w:color w:val="000000"/>
                <w:sz w:val="18"/>
                <w:szCs w:val="18"/>
              </w:rPr>
            </w:pPr>
          </w:p>
        </w:tc>
        <w:tc>
          <w:tcPr>
            <w:tcW w:w="1085" w:type="dxa"/>
            <w:vMerge w:val="restart"/>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产出指标</w:t>
            </w:r>
          </w:p>
          <w:p>
            <w:pPr>
              <w:jc w:val="center"/>
              <w:rPr>
                <w:rFonts w:ascii="Times New Roman" w:hAnsi="Times New Roman" w:eastAsia="仿宋_GB2312"/>
                <w:color w:val="000000"/>
                <w:sz w:val="18"/>
                <w:szCs w:val="18"/>
              </w:rPr>
            </w:pPr>
          </w:p>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(50分)</w:t>
            </w:r>
          </w:p>
        </w:tc>
        <w:tc>
          <w:tcPr>
            <w:tcW w:w="1085" w:type="dxa"/>
            <w:vMerge w:val="restart"/>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数量指标</w:t>
            </w:r>
          </w:p>
        </w:tc>
        <w:tc>
          <w:tcPr>
            <w:tcW w:w="1230" w:type="dxa"/>
            <w:noWrap w:val="0"/>
            <w:vAlign w:val="center"/>
          </w:tcPr>
          <w:p>
            <w:pPr>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陈家大屋修缮工程完工率</w:t>
            </w:r>
          </w:p>
        </w:tc>
        <w:tc>
          <w:tcPr>
            <w:tcW w:w="1140"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95%</w:t>
            </w:r>
          </w:p>
        </w:tc>
        <w:tc>
          <w:tcPr>
            <w:tcW w:w="1140"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95%</w:t>
            </w:r>
          </w:p>
        </w:tc>
        <w:tc>
          <w:tcPr>
            <w:tcW w:w="832"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3</w:t>
            </w:r>
          </w:p>
        </w:tc>
        <w:tc>
          <w:tcPr>
            <w:tcW w:w="877"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3</w:t>
            </w:r>
          </w:p>
        </w:tc>
        <w:tc>
          <w:tcPr>
            <w:tcW w:w="1146"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ascii="Times New Roman" w:hAnsi="Times New Roman" w:eastAsia="仿宋_GB2312"/>
                <w:color w:val="000000"/>
                <w:sz w:val="18"/>
                <w:szCs w:val="18"/>
              </w:rPr>
            </w:pPr>
          </w:p>
        </w:tc>
        <w:tc>
          <w:tcPr>
            <w:tcW w:w="1085" w:type="dxa"/>
            <w:vMerge w:val="continue"/>
            <w:noWrap w:val="0"/>
            <w:vAlign w:val="center"/>
          </w:tcPr>
          <w:p>
            <w:pPr>
              <w:jc w:val="center"/>
              <w:rPr>
                <w:rFonts w:ascii="Times New Roman" w:hAnsi="Times New Roman" w:eastAsia="仿宋_GB2312"/>
                <w:color w:val="000000"/>
                <w:sz w:val="18"/>
                <w:szCs w:val="18"/>
              </w:rPr>
            </w:pPr>
          </w:p>
        </w:tc>
        <w:tc>
          <w:tcPr>
            <w:tcW w:w="1085" w:type="dxa"/>
            <w:vMerge w:val="continue"/>
            <w:noWrap w:val="0"/>
            <w:vAlign w:val="center"/>
          </w:tcPr>
          <w:p>
            <w:pPr>
              <w:jc w:val="center"/>
              <w:rPr>
                <w:rFonts w:ascii="Times New Roman" w:hAnsi="Times New Roman" w:eastAsia="仿宋_GB2312"/>
                <w:color w:val="000000"/>
                <w:sz w:val="18"/>
                <w:szCs w:val="18"/>
              </w:rPr>
            </w:pPr>
          </w:p>
        </w:tc>
        <w:tc>
          <w:tcPr>
            <w:tcW w:w="1230" w:type="dxa"/>
            <w:noWrap w:val="0"/>
            <w:vAlign w:val="center"/>
          </w:tcPr>
          <w:p>
            <w:pPr>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陈家大屋消安防工程完工率</w:t>
            </w:r>
          </w:p>
        </w:tc>
        <w:tc>
          <w:tcPr>
            <w:tcW w:w="1140"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95%</w:t>
            </w:r>
            <w:r>
              <w:rPr>
                <w:rFonts w:ascii="Times New Roman" w:hAnsi="Times New Roman" w:eastAsia="仿宋_GB2312"/>
                <w:color w:val="000000"/>
                <w:sz w:val="18"/>
                <w:szCs w:val="18"/>
              </w:rPr>
              <w:t>　</w:t>
            </w:r>
          </w:p>
        </w:tc>
        <w:tc>
          <w:tcPr>
            <w:tcW w:w="1140"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95%</w:t>
            </w:r>
          </w:p>
        </w:tc>
        <w:tc>
          <w:tcPr>
            <w:tcW w:w="832" w:type="dxa"/>
            <w:noWrap w:val="0"/>
            <w:vAlign w:val="center"/>
          </w:tcPr>
          <w:p>
            <w:pPr>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3</w:t>
            </w:r>
          </w:p>
        </w:tc>
        <w:tc>
          <w:tcPr>
            <w:tcW w:w="877" w:type="dxa"/>
            <w:noWrap w:val="0"/>
            <w:vAlign w:val="center"/>
          </w:tcPr>
          <w:p>
            <w:pPr>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3</w:t>
            </w:r>
          </w:p>
        </w:tc>
        <w:tc>
          <w:tcPr>
            <w:tcW w:w="1146" w:type="dxa"/>
            <w:noWrap w:val="0"/>
            <w:vAlign w:val="center"/>
          </w:tcPr>
          <w:p>
            <w:pPr>
              <w:jc w:val="left"/>
              <w:rPr>
                <w:rFonts w:ascii="Times New Roman" w:hAnsi="Times New Roman"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ascii="Times New Roman" w:hAnsi="Times New Roman" w:eastAsia="仿宋_GB2312"/>
                <w:color w:val="000000"/>
                <w:sz w:val="18"/>
                <w:szCs w:val="18"/>
              </w:rPr>
            </w:pPr>
          </w:p>
        </w:tc>
        <w:tc>
          <w:tcPr>
            <w:tcW w:w="1085" w:type="dxa"/>
            <w:vMerge w:val="continue"/>
            <w:noWrap w:val="0"/>
            <w:vAlign w:val="center"/>
          </w:tcPr>
          <w:p>
            <w:pPr>
              <w:jc w:val="center"/>
              <w:rPr>
                <w:rFonts w:ascii="Times New Roman" w:hAnsi="Times New Roman" w:eastAsia="仿宋_GB2312"/>
                <w:color w:val="000000"/>
                <w:sz w:val="18"/>
                <w:szCs w:val="18"/>
              </w:rPr>
            </w:pPr>
          </w:p>
        </w:tc>
        <w:tc>
          <w:tcPr>
            <w:tcW w:w="1085" w:type="dxa"/>
            <w:vMerge w:val="continue"/>
            <w:noWrap w:val="0"/>
            <w:vAlign w:val="center"/>
          </w:tcPr>
          <w:p>
            <w:pPr>
              <w:jc w:val="center"/>
              <w:rPr>
                <w:rFonts w:ascii="Times New Roman" w:hAnsi="Times New Roman" w:eastAsia="仿宋_GB2312"/>
                <w:color w:val="000000"/>
                <w:sz w:val="18"/>
                <w:szCs w:val="18"/>
              </w:rPr>
            </w:pPr>
          </w:p>
        </w:tc>
        <w:tc>
          <w:tcPr>
            <w:tcW w:w="1230" w:type="dxa"/>
            <w:noWrap w:val="0"/>
            <w:vAlign w:val="center"/>
          </w:tcPr>
          <w:p>
            <w:pPr>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增加安保人数</w:t>
            </w:r>
          </w:p>
        </w:tc>
        <w:tc>
          <w:tcPr>
            <w:tcW w:w="1140" w:type="dxa"/>
            <w:noWrap w:val="0"/>
            <w:vAlign w:val="center"/>
          </w:tcPr>
          <w:p>
            <w:pPr>
              <w:jc w:val="left"/>
              <w:rPr>
                <w:rFonts w:hint="eastAsia" w:ascii="Times New Roman" w:hAnsi="Times New Roman" w:eastAsia="仿宋_GB2312"/>
                <w:color w:val="000000"/>
                <w:sz w:val="18"/>
                <w:szCs w:val="18"/>
                <w:lang w:eastAsia="zh-CN"/>
              </w:rPr>
            </w:pPr>
            <w:r>
              <w:rPr>
                <w:rFonts w:hint="eastAsia" w:ascii="Times New Roman" w:hAnsi="Times New Roman" w:eastAsia="仿宋_GB2312"/>
                <w:color w:val="000000"/>
                <w:sz w:val="18"/>
                <w:szCs w:val="18"/>
              </w:rPr>
              <w:t>2</w:t>
            </w:r>
            <w:r>
              <w:rPr>
                <w:rFonts w:hint="eastAsia" w:ascii="Times New Roman" w:hAnsi="Times New Roman" w:eastAsia="仿宋_GB2312"/>
                <w:color w:val="000000"/>
                <w:sz w:val="18"/>
                <w:szCs w:val="18"/>
                <w:lang w:val="en-US" w:eastAsia="zh-CN"/>
              </w:rPr>
              <w:t>人</w:t>
            </w:r>
          </w:p>
        </w:tc>
        <w:tc>
          <w:tcPr>
            <w:tcW w:w="1140" w:type="dxa"/>
            <w:noWrap w:val="0"/>
            <w:vAlign w:val="center"/>
          </w:tcPr>
          <w:p>
            <w:pPr>
              <w:jc w:val="left"/>
              <w:rPr>
                <w:rFonts w:hint="eastAsia" w:ascii="Times New Roman" w:hAnsi="Times New Roman" w:eastAsia="仿宋_GB2312"/>
                <w:color w:val="000000"/>
                <w:sz w:val="18"/>
                <w:szCs w:val="18"/>
                <w:lang w:eastAsia="zh-CN"/>
              </w:rPr>
            </w:pPr>
            <w:r>
              <w:rPr>
                <w:rFonts w:hint="eastAsia" w:ascii="Times New Roman" w:hAnsi="Times New Roman" w:eastAsia="仿宋_GB2312"/>
                <w:color w:val="000000"/>
                <w:sz w:val="18"/>
                <w:szCs w:val="18"/>
              </w:rPr>
              <w:t>6</w:t>
            </w:r>
            <w:r>
              <w:rPr>
                <w:rFonts w:hint="eastAsia" w:ascii="Times New Roman" w:hAnsi="Times New Roman" w:eastAsia="仿宋_GB2312"/>
                <w:color w:val="000000"/>
                <w:sz w:val="18"/>
                <w:szCs w:val="18"/>
                <w:lang w:val="en-US" w:eastAsia="zh-CN"/>
              </w:rPr>
              <w:t>人</w:t>
            </w:r>
          </w:p>
        </w:tc>
        <w:tc>
          <w:tcPr>
            <w:tcW w:w="832" w:type="dxa"/>
            <w:noWrap w:val="0"/>
            <w:vAlign w:val="center"/>
          </w:tcPr>
          <w:p>
            <w:pPr>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4</w:t>
            </w:r>
          </w:p>
        </w:tc>
        <w:tc>
          <w:tcPr>
            <w:tcW w:w="877" w:type="dxa"/>
            <w:noWrap w:val="0"/>
            <w:vAlign w:val="center"/>
          </w:tcPr>
          <w:p>
            <w:pPr>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4</w:t>
            </w:r>
          </w:p>
        </w:tc>
        <w:tc>
          <w:tcPr>
            <w:tcW w:w="1146"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家大屋旧址属陈国家文物重点保护单位，必须按国保单位标准配备安保值守人员，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ascii="Times New Roman" w:hAnsi="Times New Roman" w:eastAsia="仿宋_GB2312"/>
                <w:color w:val="000000"/>
                <w:sz w:val="18"/>
                <w:szCs w:val="18"/>
              </w:rPr>
            </w:pPr>
          </w:p>
        </w:tc>
        <w:tc>
          <w:tcPr>
            <w:tcW w:w="1085" w:type="dxa"/>
            <w:vMerge w:val="continue"/>
            <w:noWrap w:val="0"/>
            <w:vAlign w:val="center"/>
          </w:tcPr>
          <w:p>
            <w:pPr>
              <w:jc w:val="center"/>
              <w:rPr>
                <w:rFonts w:ascii="Times New Roman" w:hAnsi="Times New Roman" w:eastAsia="仿宋_GB2312"/>
                <w:color w:val="000000"/>
                <w:sz w:val="18"/>
                <w:szCs w:val="18"/>
              </w:rPr>
            </w:pPr>
          </w:p>
        </w:tc>
        <w:tc>
          <w:tcPr>
            <w:tcW w:w="1085" w:type="dxa"/>
            <w:vMerge w:val="restart"/>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质量指标</w:t>
            </w:r>
          </w:p>
        </w:tc>
        <w:tc>
          <w:tcPr>
            <w:tcW w:w="1230" w:type="dxa"/>
            <w:noWrap w:val="0"/>
            <w:vAlign w:val="center"/>
          </w:tcPr>
          <w:p>
            <w:pPr>
              <w:jc w:val="left"/>
              <w:rPr>
                <w:rFonts w:hint="eastAsia" w:ascii="Times New Roman" w:hAnsi="Times New Roman" w:eastAsia="仿宋_GB2312"/>
                <w:color w:val="000000"/>
                <w:sz w:val="18"/>
                <w:szCs w:val="18"/>
                <w:highlight w:val="none"/>
              </w:rPr>
            </w:pPr>
            <w:r>
              <w:rPr>
                <w:rFonts w:hint="eastAsia" w:ascii="Times New Roman" w:hAnsi="Times New Roman" w:eastAsia="仿宋_GB2312"/>
                <w:color w:val="000000"/>
                <w:sz w:val="18"/>
                <w:szCs w:val="18"/>
                <w:highlight w:val="none"/>
              </w:rPr>
              <w:t>陈家大屋修缮工程验收合格率</w:t>
            </w:r>
          </w:p>
        </w:tc>
        <w:tc>
          <w:tcPr>
            <w:tcW w:w="1140"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95%</w:t>
            </w:r>
            <w:r>
              <w:rPr>
                <w:rFonts w:ascii="Times New Roman" w:hAnsi="Times New Roman" w:eastAsia="仿宋_GB2312"/>
                <w:color w:val="000000"/>
                <w:sz w:val="18"/>
                <w:szCs w:val="18"/>
              </w:rPr>
              <w:t>　</w:t>
            </w:r>
          </w:p>
        </w:tc>
        <w:tc>
          <w:tcPr>
            <w:tcW w:w="1140"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95%</w:t>
            </w:r>
          </w:p>
        </w:tc>
        <w:tc>
          <w:tcPr>
            <w:tcW w:w="832"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3</w:t>
            </w:r>
            <w:r>
              <w:rPr>
                <w:rFonts w:ascii="Times New Roman" w:hAnsi="Times New Roman" w:eastAsia="仿宋_GB2312"/>
                <w:color w:val="000000"/>
                <w:sz w:val="18"/>
                <w:szCs w:val="18"/>
              </w:rPr>
              <w:t>　</w:t>
            </w:r>
          </w:p>
        </w:tc>
        <w:tc>
          <w:tcPr>
            <w:tcW w:w="877"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3</w:t>
            </w:r>
            <w:r>
              <w:rPr>
                <w:rFonts w:ascii="Times New Roman" w:hAnsi="Times New Roman" w:eastAsia="仿宋_GB2312"/>
                <w:color w:val="000000"/>
                <w:sz w:val="18"/>
                <w:szCs w:val="18"/>
              </w:rPr>
              <w:t>　</w:t>
            </w:r>
          </w:p>
        </w:tc>
        <w:tc>
          <w:tcPr>
            <w:tcW w:w="1146"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ascii="Times New Roman" w:hAnsi="Times New Roman" w:eastAsia="仿宋_GB2312"/>
                <w:color w:val="000000"/>
                <w:sz w:val="18"/>
                <w:szCs w:val="18"/>
              </w:rPr>
            </w:pPr>
          </w:p>
        </w:tc>
        <w:tc>
          <w:tcPr>
            <w:tcW w:w="1085" w:type="dxa"/>
            <w:vMerge w:val="continue"/>
            <w:noWrap w:val="0"/>
            <w:vAlign w:val="center"/>
          </w:tcPr>
          <w:p>
            <w:pPr>
              <w:jc w:val="center"/>
              <w:rPr>
                <w:rFonts w:ascii="Times New Roman" w:hAnsi="Times New Roman" w:eastAsia="仿宋_GB2312"/>
                <w:color w:val="000000"/>
                <w:sz w:val="18"/>
                <w:szCs w:val="18"/>
              </w:rPr>
            </w:pPr>
          </w:p>
        </w:tc>
        <w:tc>
          <w:tcPr>
            <w:tcW w:w="1085" w:type="dxa"/>
            <w:vMerge w:val="continue"/>
            <w:noWrap w:val="0"/>
            <w:vAlign w:val="center"/>
          </w:tcPr>
          <w:p>
            <w:pPr>
              <w:jc w:val="center"/>
              <w:rPr>
                <w:rFonts w:ascii="Times New Roman" w:hAnsi="Times New Roman" w:eastAsia="仿宋_GB2312"/>
                <w:color w:val="000000"/>
                <w:sz w:val="18"/>
                <w:szCs w:val="18"/>
              </w:rPr>
            </w:pPr>
          </w:p>
        </w:tc>
        <w:tc>
          <w:tcPr>
            <w:tcW w:w="1230" w:type="dxa"/>
            <w:noWrap w:val="0"/>
            <w:vAlign w:val="center"/>
          </w:tcPr>
          <w:p>
            <w:pPr>
              <w:jc w:val="left"/>
              <w:rPr>
                <w:rFonts w:hint="eastAsia" w:ascii="Times New Roman" w:hAnsi="Times New Roman" w:eastAsia="仿宋_GB2312"/>
                <w:color w:val="000000"/>
                <w:sz w:val="18"/>
                <w:szCs w:val="18"/>
                <w:highlight w:val="none"/>
              </w:rPr>
            </w:pPr>
            <w:r>
              <w:rPr>
                <w:rFonts w:hint="eastAsia" w:ascii="Times New Roman" w:hAnsi="Times New Roman" w:eastAsia="仿宋_GB2312"/>
                <w:color w:val="000000"/>
                <w:sz w:val="18"/>
                <w:szCs w:val="18"/>
                <w:highlight w:val="none"/>
              </w:rPr>
              <w:t>陈家大屋消安防工程验收合格率</w:t>
            </w:r>
          </w:p>
        </w:tc>
        <w:tc>
          <w:tcPr>
            <w:tcW w:w="1140"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95%</w:t>
            </w:r>
            <w:r>
              <w:rPr>
                <w:rFonts w:ascii="Times New Roman" w:hAnsi="Times New Roman" w:eastAsia="仿宋_GB2312"/>
                <w:color w:val="000000"/>
                <w:sz w:val="18"/>
                <w:szCs w:val="18"/>
              </w:rPr>
              <w:t>　</w:t>
            </w:r>
          </w:p>
        </w:tc>
        <w:tc>
          <w:tcPr>
            <w:tcW w:w="1140"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95%</w:t>
            </w:r>
          </w:p>
        </w:tc>
        <w:tc>
          <w:tcPr>
            <w:tcW w:w="832" w:type="dxa"/>
            <w:noWrap w:val="0"/>
            <w:vAlign w:val="center"/>
          </w:tcPr>
          <w:p>
            <w:pPr>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3</w:t>
            </w:r>
          </w:p>
        </w:tc>
        <w:tc>
          <w:tcPr>
            <w:tcW w:w="877" w:type="dxa"/>
            <w:noWrap w:val="0"/>
            <w:vAlign w:val="center"/>
          </w:tcPr>
          <w:p>
            <w:pPr>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3</w:t>
            </w:r>
          </w:p>
        </w:tc>
        <w:tc>
          <w:tcPr>
            <w:tcW w:w="1146" w:type="dxa"/>
            <w:noWrap w:val="0"/>
            <w:vAlign w:val="center"/>
          </w:tcPr>
          <w:p>
            <w:pPr>
              <w:jc w:val="left"/>
              <w:rPr>
                <w:rFonts w:ascii="Times New Roman" w:hAnsi="Times New Roman"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ascii="Times New Roman" w:hAnsi="Times New Roman" w:eastAsia="仿宋_GB2312"/>
                <w:color w:val="000000"/>
                <w:sz w:val="18"/>
                <w:szCs w:val="18"/>
              </w:rPr>
            </w:pPr>
          </w:p>
        </w:tc>
        <w:tc>
          <w:tcPr>
            <w:tcW w:w="1085" w:type="dxa"/>
            <w:vMerge w:val="continue"/>
            <w:noWrap w:val="0"/>
            <w:vAlign w:val="center"/>
          </w:tcPr>
          <w:p>
            <w:pPr>
              <w:jc w:val="center"/>
              <w:rPr>
                <w:rFonts w:ascii="Times New Roman" w:hAnsi="Times New Roman" w:eastAsia="仿宋_GB2312"/>
                <w:color w:val="000000"/>
                <w:sz w:val="18"/>
                <w:szCs w:val="18"/>
              </w:rPr>
            </w:pPr>
          </w:p>
        </w:tc>
        <w:tc>
          <w:tcPr>
            <w:tcW w:w="1085" w:type="dxa"/>
            <w:vMerge w:val="continue"/>
            <w:noWrap w:val="0"/>
            <w:vAlign w:val="center"/>
          </w:tcPr>
          <w:p>
            <w:pPr>
              <w:jc w:val="center"/>
              <w:rPr>
                <w:rFonts w:ascii="Times New Roman" w:hAnsi="Times New Roman" w:eastAsia="仿宋_GB2312"/>
                <w:color w:val="000000"/>
                <w:sz w:val="18"/>
                <w:szCs w:val="18"/>
              </w:rPr>
            </w:pPr>
          </w:p>
        </w:tc>
        <w:tc>
          <w:tcPr>
            <w:tcW w:w="1230" w:type="dxa"/>
            <w:noWrap w:val="0"/>
            <w:vAlign w:val="center"/>
          </w:tcPr>
          <w:p>
            <w:pPr>
              <w:jc w:val="left"/>
              <w:rPr>
                <w:rFonts w:hint="eastAsia" w:ascii="Times New Roman" w:hAnsi="Times New Roman" w:eastAsia="仿宋_GB2312"/>
                <w:color w:val="000000"/>
                <w:sz w:val="18"/>
                <w:szCs w:val="18"/>
                <w:highlight w:val="none"/>
              </w:rPr>
            </w:pPr>
            <w:r>
              <w:rPr>
                <w:rFonts w:hint="eastAsia" w:ascii="Times New Roman" w:hAnsi="Times New Roman" w:eastAsia="仿宋_GB2312"/>
                <w:color w:val="000000"/>
                <w:sz w:val="18"/>
                <w:szCs w:val="18"/>
                <w:highlight w:val="none"/>
              </w:rPr>
              <w:t>安保人员值守到位率</w:t>
            </w:r>
          </w:p>
        </w:tc>
        <w:tc>
          <w:tcPr>
            <w:tcW w:w="1140"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98%</w:t>
            </w:r>
            <w:r>
              <w:rPr>
                <w:rFonts w:ascii="Times New Roman" w:hAnsi="Times New Roman" w:eastAsia="仿宋_GB2312"/>
                <w:color w:val="000000"/>
                <w:sz w:val="18"/>
                <w:szCs w:val="18"/>
              </w:rPr>
              <w:t>　</w:t>
            </w:r>
          </w:p>
        </w:tc>
        <w:tc>
          <w:tcPr>
            <w:tcW w:w="1140"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98%</w:t>
            </w:r>
          </w:p>
        </w:tc>
        <w:tc>
          <w:tcPr>
            <w:tcW w:w="832" w:type="dxa"/>
            <w:noWrap w:val="0"/>
            <w:vAlign w:val="center"/>
          </w:tcPr>
          <w:p>
            <w:pPr>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4</w:t>
            </w:r>
          </w:p>
        </w:tc>
        <w:tc>
          <w:tcPr>
            <w:tcW w:w="877" w:type="dxa"/>
            <w:noWrap w:val="0"/>
            <w:vAlign w:val="center"/>
          </w:tcPr>
          <w:p>
            <w:pPr>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4</w:t>
            </w:r>
          </w:p>
        </w:tc>
        <w:tc>
          <w:tcPr>
            <w:tcW w:w="1146" w:type="dxa"/>
            <w:noWrap w:val="0"/>
            <w:vAlign w:val="center"/>
          </w:tcPr>
          <w:p>
            <w:pPr>
              <w:jc w:val="left"/>
              <w:rPr>
                <w:rFonts w:ascii="Times New Roman" w:hAnsi="Times New Roman"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ascii="Times New Roman" w:hAnsi="Times New Roman" w:eastAsia="仿宋_GB2312"/>
                <w:color w:val="000000"/>
                <w:sz w:val="18"/>
                <w:szCs w:val="18"/>
              </w:rPr>
            </w:pPr>
          </w:p>
        </w:tc>
        <w:tc>
          <w:tcPr>
            <w:tcW w:w="1085" w:type="dxa"/>
            <w:vMerge w:val="continue"/>
            <w:noWrap w:val="0"/>
            <w:vAlign w:val="center"/>
          </w:tcPr>
          <w:p>
            <w:pPr>
              <w:jc w:val="center"/>
              <w:rPr>
                <w:rFonts w:ascii="Times New Roman" w:hAnsi="Times New Roman" w:eastAsia="仿宋_GB2312"/>
                <w:color w:val="000000"/>
                <w:sz w:val="18"/>
                <w:szCs w:val="18"/>
              </w:rPr>
            </w:pPr>
          </w:p>
        </w:tc>
        <w:tc>
          <w:tcPr>
            <w:tcW w:w="1085" w:type="dxa"/>
            <w:vMerge w:val="restart"/>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时效指标</w:t>
            </w:r>
          </w:p>
        </w:tc>
        <w:tc>
          <w:tcPr>
            <w:tcW w:w="1230" w:type="dxa"/>
            <w:noWrap w:val="0"/>
            <w:vAlign w:val="center"/>
          </w:tcPr>
          <w:p>
            <w:pPr>
              <w:jc w:val="left"/>
              <w:rPr>
                <w:rFonts w:hint="eastAsia" w:ascii="Times New Roman" w:hAnsi="Times New Roman" w:eastAsia="仿宋_GB2312"/>
                <w:color w:val="000000"/>
                <w:sz w:val="18"/>
                <w:szCs w:val="18"/>
                <w:highlight w:val="none"/>
              </w:rPr>
            </w:pPr>
            <w:r>
              <w:rPr>
                <w:rFonts w:hint="eastAsia" w:ascii="Times New Roman" w:hAnsi="Times New Roman" w:eastAsia="仿宋_GB2312"/>
                <w:color w:val="000000"/>
                <w:sz w:val="18"/>
                <w:szCs w:val="18"/>
                <w:highlight w:val="none"/>
              </w:rPr>
              <w:t>陈家大屋修缮工程完工及时率</w:t>
            </w:r>
          </w:p>
        </w:tc>
        <w:tc>
          <w:tcPr>
            <w:tcW w:w="1140"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95%</w:t>
            </w:r>
            <w:r>
              <w:rPr>
                <w:rFonts w:ascii="Times New Roman" w:hAnsi="Times New Roman" w:eastAsia="仿宋_GB2312"/>
                <w:color w:val="000000"/>
                <w:sz w:val="18"/>
                <w:szCs w:val="18"/>
              </w:rPr>
              <w:t>　</w:t>
            </w:r>
          </w:p>
        </w:tc>
        <w:tc>
          <w:tcPr>
            <w:tcW w:w="1140"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95%</w:t>
            </w:r>
          </w:p>
        </w:tc>
        <w:tc>
          <w:tcPr>
            <w:tcW w:w="832"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3</w:t>
            </w:r>
            <w:r>
              <w:rPr>
                <w:rFonts w:ascii="Times New Roman" w:hAnsi="Times New Roman" w:eastAsia="仿宋_GB2312"/>
                <w:color w:val="000000"/>
                <w:sz w:val="18"/>
                <w:szCs w:val="18"/>
              </w:rPr>
              <w:t>　</w:t>
            </w:r>
          </w:p>
        </w:tc>
        <w:tc>
          <w:tcPr>
            <w:tcW w:w="877"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3</w:t>
            </w:r>
            <w:r>
              <w:rPr>
                <w:rFonts w:ascii="Times New Roman" w:hAnsi="Times New Roman" w:eastAsia="仿宋_GB2312"/>
                <w:color w:val="000000"/>
                <w:sz w:val="18"/>
                <w:szCs w:val="18"/>
              </w:rPr>
              <w:t>　</w:t>
            </w:r>
          </w:p>
        </w:tc>
        <w:tc>
          <w:tcPr>
            <w:tcW w:w="1146"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ascii="Times New Roman" w:hAnsi="Times New Roman" w:eastAsia="仿宋_GB2312"/>
                <w:color w:val="000000"/>
                <w:sz w:val="18"/>
                <w:szCs w:val="18"/>
              </w:rPr>
            </w:pPr>
          </w:p>
        </w:tc>
        <w:tc>
          <w:tcPr>
            <w:tcW w:w="1085" w:type="dxa"/>
            <w:vMerge w:val="continue"/>
            <w:noWrap w:val="0"/>
            <w:vAlign w:val="center"/>
          </w:tcPr>
          <w:p>
            <w:pPr>
              <w:jc w:val="center"/>
              <w:rPr>
                <w:rFonts w:ascii="Times New Roman" w:hAnsi="Times New Roman" w:eastAsia="仿宋_GB2312"/>
                <w:color w:val="000000"/>
                <w:sz w:val="18"/>
                <w:szCs w:val="18"/>
              </w:rPr>
            </w:pPr>
          </w:p>
        </w:tc>
        <w:tc>
          <w:tcPr>
            <w:tcW w:w="1085" w:type="dxa"/>
            <w:vMerge w:val="continue"/>
            <w:noWrap w:val="0"/>
            <w:vAlign w:val="center"/>
          </w:tcPr>
          <w:p>
            <w:pPr>
              <w:jc w:val="center"/>
              <w:rPr>
                <w:rFonts w:ascii="Times New Roman" w:hAnsi="Times New Roman" w:eastAsia="仿宋_GB2312"/>
                <w:color w:val="000000"/>
                <w:sz w:val="18"/>
                <w:szCs w:val="18"/>
              </w:rPr>
            </w:pPr>
          </w:p>
        </w:tc>
        <w:tc>
          <w:tcPr>
            <w:tcW w:w="1230" w:type="dxa"/>
            <w:noWrap w:val="0"/>
            <w:vAlign w:val="center"/>
          </w:tcPr>
          <w:p>
            <w:pPr>
              <w:jc w:val="left"/>
              <w:rPr>
                <w:rFonts w:hint="eastAsia" w:ascii="Times New Roman" w:hAnsi="Times New Roman" w:eastAsia="仿宋_GB2312"/>
                <w:color w:val="000000"/>
                <w:sz w:val="18"/>
                <w:szCs w:val="18"/>
                <w:highlight w:val="none"/>
              </w:rPr>
            </w:pPr>
            <w:r>
              <w:rPr>
                <w:rFonts w:hint="eastAsia" w:ascii="Times New Roman" w:hAnsi="Times New Roman" w:eastAsia="仿宋_GB2312"/>
                <w:color w:val="000000"/>
                <w:sz w:val="18"/>
                <w:szCs w:val="18"/>
                <w:highlight w:val="none"/>
              </w:rPr>
              <w:t>陈家大屋消安防工程完工及时率</w:t>
            </w:r>
          </w:p>
        </w:tc>
        <w:tc>
          <w:tcPr>
            <w:tcW w:w="1140"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95%</w:t>
            </w:r>
            <w:r>
              <w:rPr>
                <w:rFonts w:ascii="Times New Roman" w:hAnsi="Times New Roman" w:eastAsia="仿宋_GB2312"/>
                <w:color w:val="000000"/>
                <w:sz w:val="18"/>
                <w:szCs w:val="18"/>
              </w:rPr>
              <w:t>　</w:t>
            </w:r>
          </w:p>
        </w:tc>
        <w:tc>
          <w:tcPr>
            <w:tcW w:w="1140"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95%</w:t>
            </w:r>
          </w:p>
        </w:tc>
        <w:tc>
          <w:tcPr>
            <w:tcW w:w="832" w:type="dxa"/>
            <w:noWrap w:val="0"/>
            <w:vAlign w:val="center"/>
          </w:tcPr>
          <w:p>
            <w:pPr>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3</w:t>
            </w:r>
          </w:p>
        </w:tc>
        <w:tc>
          <w:tcPr>
            <w:tcW w:w="877" w:type="dxa"/>
            <w:noWrap w:val="0"/>
            <w:vAlign w:val="center"/>
          </w:tcPr>
          <w:p>
            <w:pPr>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3</w:t>
            </w:r>
          </w:p>
        </w:tc>
        <w:tc>
          <w:tcPr>
            <w:tcW w:w="1146" w:type="dxa"/>
            <w:noWrap w:val="0"/>
            <w:vAlign w:val="center"/>
          </w:tcPr>
          <w:p>
            <w:pPr>
              <w:jc w:val="left"/>
              <w:rPr>
                <w:rFonts w:ascii="Times New Roman" w:hAnsi="Times New Roman"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ascii="Times New Roman" w:hAnsi="Times New Roman" w:eastAsia="仿宋_GB2312"/>
                <w:color w:val="000000"/>
                <w:sz w:val="18"/>
                <w:szCs w:val="18"/>
              </w:rPr>
            </w:pPr>
          </w:p>
        </w:tc>
        <w:tc>
          <w:tcPr>
            <w:tcW w:w="1085" w:type="dxa"/>
            <w:vMerge w:val="continue"/>
            <w:noWrap w:val="0"/>
            <w:vAlign w:val="center"/>
          </w:tcPr>
          <w:p>
            <w:pPr>
              <w:jc w:val="center"/>
              <w:rPr>
                <w:rFonts w:ascii="Times New Roman" w:hAnsi="Times New Roman" w:eastAsia="仿宋_GB2312"/>
                <w:color w:val="000000"/>
                <w:sz w:val="18"/>
                <w:szCs w:val="18"/>
              </w:rPr>
            </w:pPr>
          </w:p>
        </w:tc>
        <w:tc>
          <w:tcPr>
            <w:tcW w:w="1085" w:type="dxa"/>
            <w:vMerge w:val="continue"/>
            <w:noWrap w:val="0"/>
            <w:vAlign w:val="center"/>
          </w:tcPr>
          <w:p>
            <w:pPr>
              <w:jc w:val="center"/>
              <w:rPr>
                <w:rFonts w:ascii="Times New Roman" w:hAnsi="Times New Roman" w:eastAsia="仿宋_GB2312"/>
                <w:color w:val="000000"/>
                <w:sz w:val="18"/>
                <w:szCs w:val="18"/>
              </w:rPr>
            </w:pPr>
          </w:p>
        </w:tc>
        <w:tc>
          <w:tcPr>
            <w:tcW w:w="1230" w:type="dxa"/>
            <w:noWrap w:val="0"/>
            <w:vAlign w:val="center"/>
          </w:tcPr>
          <w:p>
            <w:pPr>
              <w:jc w:val="left"/>
              <w:rPr>
                <w:rFonts w:hint="eastAsia" w:ascii="Times New Roman" w:hAnsi="Times New Roman" w:eastAsia="仿宋_GB2312"/>
                <w:color w:val="000000"/>
                <w:sz w:val="18"/>
                <w:szCs w:val="18"/>
                <w:highlight w:val="none"/>
              </w:rPr>
            </w:pPr>
            <w:r>
              <w:rPr>
                <w:rFonts w:hint="eastAsia" w:ascii="Times New Roman" w:hAnsi="Times New Roman" w:eastAsia="仿宋_GB2312"/>
                <w:color w:val="000000"/>
                <w:sz w:val="18"/>
                <w:szCs w:val="18"/>
                <w:highlight w:val="none"/>
              </w:rPr>
              <w:t>安保人员值守及时率</w:t>
            </w:r>
          </w:p>
        </w:tc>
        <w:tc>
          <w:tcPr>
            <w:tcW w:w="1140" w:type="dxa"/>
            <w:noWrap w:val="0"/>
            <w:vAlign w:val="center"/>
          </w:tcPr>
          <w:p>
            <w:pPr>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24小时</w:t>
            </w:r>
          </w:p>
        </w:tc>
        <w:tc>
          <w:tcPr>
            <w:tcW w:w="1140" w:type="dxa"/>
            <w:noWrap w:val="0"/>
            <w:vAlign w:val="center"/>
          </w:tcPr>
          <w:p>
            <w:pPr>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24小计</w:t>
            </w:r>
          </w:p>
        </w:tc>
        <w:tc>
          <w:tcPr>
            <w:tcW w:w="832" w:type="dxa"/>
            <w:noWrap w:val="0"/>
            <w:vAlign w:val="center"/>
          </w:tcPr>
          <w:p>
            <w:pPr>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4</w:t>
            </w:r>
          </w:p>
        </w:tc>
        <w:tc>
          <w:tcPr>
            <w:tcW w:w="877" w:type="dxa"/>
            <w:noWrap w:val="0"/>
            <w:vAlign w:val="center"/>
          </w:tcPr>
          <w:p>
            <w:pPr>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4</w:t>
            </w:r>
          </w:p>
        </w:tc>
        <w:tc>
          <w:tcPr>
            <w:tcW w:w="1146" w:type="dxa"/>
            <w:noWrap w:val="0"/>
            <w:vAlign w:val="center"/>
          </w:tcPr>
          <w:p>
            <w:pPr>
              <w:jc w:val="left"/>
              <w:rPr>
                <w:rFonts w:ascii="Times New Roman" w:hAnsi="Times New Roman"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ascii="Times New Roman" w:hAnsi="Times New Roman" w:eastAsia="仿宋_GB2312"/>
                <w:color w:val="000000"/>
                <w:sz w:val="18"/>
                <w:szCs w:val="18"/>
              </w:rPr>
            </w:pPr>
          </w:p>
        </w:tc>
        <w:tc>
          <w:tcPr>
            <w:tcW w:w="1085" w:type="dxa"/>
            <w:vMerge w:val="continue"/>
            <w:noWrap w:val="0"/>
            <w:vAlign w:val="center"/>
          </w:tcPr>
          <w:p>
            <w:pPr>
              <w:jc w:val="center"/>
              <w:rPr>
                <w:rFonts w:ascii="Times New Roman" w:hAnsi="Times New Roman" w:eastAsia="仿宋_GB2312"/>
                <w:color w:val="000000"/>
                <w:sz w:val="18"/>
                <w:szCs w:val="18"/>
              </w:rPr>
            </w:pPr>
          </w:p>
        </w:tc>
        <w:tc>
          <w:tcPr>
            <w:tcW w:w="1085"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成本指标</w:t>
            </w:r>
          </w:p>
        </w:tc>
        <w:tc>
          <w:tcPr>
            <w:tcW w:w="1230" w:type="dxa"/>
            <w:noWrap w:val="0"/>
            <w:vAlign w:val="center"/>
          </w:tcPr>
          <w:p>
            <w:pPr>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预算成本控制情况</w:t>
            </w:r>
          </w:p>
        </w:tc>
        <w:tc>
          <w:tcPr>
            <w:tcW w:w="1140"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130.25万元</w:t>
            </w:r>
            <w:r>
              <w:rPr>
                <w:rFonts w:ascii="Times New Roman" w:hAnsi="Times New Roman" w:eastAsia="仿宋_GB2312"/>
                <w:color w:val="000000"/>
                <w:sz w:val="18"/>
                <w:szCs w:val="18"/>
              </w:rPr>
              <w:t>　</w:t>
            </w:r>
          </w:p>
        </w:tc>
        <w:tc>
          <w:tcPr>
            <w:tcW w:w="1140"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130.25万元</w:t>
            </w:r>
            <w:r>
              <w:rPr>
                <w:rFonts w:ascii="Times New Roman" w:hAnsi="Times New Roman" w:eastAsia="仿宋_GB2312"/>
                <w:color w:val="000000"/>
                <w:sz w:val="18"/>
                <w:szCs w:val="18"/>
              </w:rPr>
              <w:t>　</w:t>
            </w:r>
          </w:p>
        </w:tc>
        <w:tc>
          <w:tcPr>
            <w:tcW w:w="832"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20</w:t>
            </w:r>
          </w:p>
        </w:tc>
        <w:tc>
          <w:tcPr>
            <w:tcW w:w="877"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20</w:t>
            </w:r>
            <w:r>
              <w:rPr>
                <w:rFonts w:ascii="Times New Roman" w:hAnsi="Times New Roman" w:eastAsia="仿宋_GB2312"/>
                <w:color w:val="000000"/>
                <w:sz w:val="18"/>
                <w:szCs w:val="18"/>
              </w:rPr>
              <w:t>　</w:t>
            </w:r>
          </w:p>
        </w:tc>
        <w:tc>
          <w:tcPr>
            <w:tcW w:w="1146"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ascii="Times New Roman" w:hAnsi="Times New Roman" w:eastAsia="仿宋_GB2312"/>
                <w:color w:val="000000"/>
                <w:sz w:val="18"/>
                <w:szCs w:val="18"/>
              </w:rPr>
            </w:pPr>
          </w:p>
        </w:tc>
        <w:tc>
          <w:tcPr>
            <w:tcW w:w="1085" w:type="dxa"/>
            <w:vMerge w:val="restart"/>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效益指标</w:t>
            </w:r>
          </w:p>
          <w:p>
            <w:pPr>
              <w:jc w:val="center"/>
              <w:rPr>
                <w:rFonts w:ascii="Times New Roman" w:hAnsi="Times New Roman" w:eastAsia="仿宋_GB2312"/>
                <w:color w:val="000000"/>
                <w:sz w:val="18"/>
                <w:szCs w:val="18"/>
              </w:rPr>
            </w:pPr>
          </w:p>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（30分）</w:t>
            </w:r>
          </w:p>
          <w:p>
            <w:pPr>
              <w:jc w:val="center"/>
              <w:rPr>
                <w:rFonts w:ascii="Times New Roman" w:hAnsi="Times New Roman" w:eastAsia="仿宋_GB2312"/>
                <w:color w:val="000000"/>
                <w:sz w:val="18"/>
                <w:szCs w:val="18"/>
              </w:rPr>
            </w:pPr>
          </w:p>
        </w:tc>
        <w:tc>
          <w:tcPr>
            <w:tcW w:w="1085"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经济效</w:t>
            </w:r>
          </w:p>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益指标</w:t>
            </w:r>
          </w:p>
        </w:tc>
        <w:tc>
          <w:tcPr>
            <w:tcW w:w="1230" w:type="dxa"/>
            <w:noWrap w:val="0"/>
            <w:vAlign w:val="center"/>
          </w:tcPr>
          <w:p>
            <w:pPr>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不适用</w:t>
            </w:r>
          </w:p>
        </w:tc>
        <w:tc>
          <w:tcPr>
            <w:tcW w:w="1140"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w:t>
            </w:r>
            <w:r>
              <w:rPr>
                <w:rFonts w:ascii="Times New Roman" w:hAnsi="Times New Roman" w:eastAsia="仿宋_GB2312"/>
                <w:color w:val="000000"/>
                <w:sz w:val="18"/>
                <w:szCs w:val="18"/>
              </w:rPr>
              <w:t>　</w:t>
            </w:r>
          </w:p>
        </w:tc>
        <w:tc>
          <w:tcPr>
            <w:tcW w:w="1140"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w:t>
            </w:r>
            <w:r>
              <w:rPr>
                <w:rFonts w:ascii="Times New Roman" w:hAnsi="Times New Roman" w:eastAsia="仿宋_GB2312"/>
                <w:color w:val="000000"/>
                <w:sz w:val="18"/>
                <w:szCs w:val="18"/>
              </w:rPr>
              <w:t>　</w:t>
            </w:r>
          </w:p>
        </w:tc>
        <w:tc>
          <w:tcPr>
            <w:tcW w:w="832"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w:t>
            </w:r>
          </w:p>
        </w:tc>
        <w:tc>
          <w:tcPr>
            <w:tcW w:w="877"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w:t>
            </w:r>
          </w:p>
        </w:tc>
        <w:tc>
          <w:tcPr>
            <w:tcW w:w="1146"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ascii="Times New Roman" w:hAnsi="Times New Roman" w:eastAsia="仿宋_GB2312"/>
                <w:color w:val="000000"/>
                <w:sz w:val="18"/>
                <w:szCs w:val="18"/>
              </w:rPr>
            </w:pPr>
          </w:p>
        </w:tc>
        <w:tc>
          <w:tcPr>
            <w:tcW w:w="1085" w:type="dxa"/>
            <w:vMerge w:val="continue"/>
            <w:noWrap w:val="0"/>
            <w:vAlign w:val="center"/>
          </w:tcPr>
          <w:p>
            <w:pPr>
              <w:jc w:val="left"/>
              <w:rPr>
                <w:rFonts w:ascii="Times New Roman" w:hAnsi="Times New Roman" w:eastAsia="仿宋_GB2312"/>
                <w:color w:val="000000"/>
                <w:sz w:val="18"/>
                <w:szCs w:val="18"/>
              </w:rPr>
            </w:pPr>
          </w:p>
        </w:tc>
        <w:tc>
          <w:tcPr>
            <w:tcW w:w="1085"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社会效</w:t>
            </w:r>
          </w:p>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益指标</w:t>
            </w:r>
          </w:p>
        </w:tc>
        <w:tc>
          <w:tcPr>
            <w:tcW w:w="1230" w:type="dxa"/>
            <w:noWrap w:val="0"/>
            <w:vAlign w:val="center"/>
          </w:tcPr>
          <w:p>
            <w:pPr>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提高市民了红色知识情况</w:t>
            </w:r>
          </w:p>
        </w:tc>
        <w:tc>
          <w:tcPr>
            <w:tcW w:w="1140" w:type="dxa"/>
            <w:noWrap w:val="0"/>
            <w:vAlign w:val="center"/>
          </w:tcPr>
          <w:p>
            <w:pPr>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提高</w:t>
            </w:r>
          </w:p>
        </w:tc>
        <w:tc>
          <w:tcPr>
            <w:tcW w:w="1140"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有效提高</w:t>
            </w:r>
            <w:r>
              <w:rPr>
                <w:rFonts w:ascii="Times New Roman" w:hAnsi="Times New Roman" w:eastAsia="仿宋_GB2312"/>
                <w:color w:val="000000"/>
                <w:sz w:val="18"/>
                <w:szCs w:val="18"/>
              </w:rPr>
              <w:t>　</w:t>
            </w:r>
          </w:p>
        </w:tc>
        <w:tc>
          <w:tcPr>
            <w:tcW w:w="832"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15</w:t>
            </w:r>
            <w:r>
              <w:rPr>
                <w:rFonts w:ascii="Times New Roman" w:hAnsi="Times New Roman" w:eastAsia="仿宋_GB2312"/>
                <w:color w:val="000000"/>
                <w:sz w:val="18"/>
                <w:szCs w:val="18"/>
              </w:rPr>
              <w:t>　</w:t>
            </w:r>
          </w:p>
        </w:tc>
        <w:tc>
          <w:tcPr>
            <w:tcW w:w="877"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13</w:t>
            </w:r>
          </w:p>
        </w:tc>
        <w:tc>
          <w:tcPr>
            <w:tcW w:w="1146"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不断在提升，但是距离提高全市居民了解红色知识情况还有一定差距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ascii="Times New Roman" w:hAnsi="Times New Roman" w:eastAsia="仿宋_GB2312"/>
                <w:color w:val="000000"/>
                <w:sz w:val="18"/>
                <w:szCs w:val="18"/>
              </w:rPr>
            </w:pPr>
          </w:p>
        </w:tc>
        <w:tc>
          <w:tcPr>
            <w:tcW w:w="1085" w:type="dxa"/>
            <w:vMerge w:val="continue"/>
            <w:noWrap w:val="0"/>
            <w:vAlign w:val="center"/>
          </w:tcPr>
          <w:p>
            <w:pPr>
              <w:jc w:val="left"/>
              <w:rPr>
                <w:rFonts w:ascii="Times New Roman" w:hAnsi="Times New Roman" w:eastAsia="仿宋_GB2312"/>
                <w:color w:val="000000"/>
                <w:sz w:val="18"/>
                <w:szCs w:val="18"/>
              </w:rPr>
            </w:pPr>
          </w:p>
        </w:tc>
        <w:tc>
          <w:tcPr>
            <w:tcW w:w="1085"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生态效</w:t>
            </w:r>
          </w:p>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益指标</w:t>
            </w:r>
          </w:p>
        </w:tc>
        <w:tc>
          <w:tcPr>
            <w:tcW w:w="1230" w:type="dxa"/>
            <w:noWrap w:val="0"/>
            <w:vAlign w:val="center"/>
          </w:tcPr>
          <w:p>
            <w:pPr>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不适用</w:t>
            </w:r>
          </w:p>
        </w:tc>
        <w:tc>
          <w:tcPr>
            <w:tcW w:w="1140"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w:t>
            </w:r>
            <w:r>
              <w:rPr>
                <w:rFonts w:ascii="Times New Roman" w:hAnsi="Times New Roman" w:eastAsia="仿宋_GB2312"/>
                <w:color w:val="000000"/>
                <w:sz w:val="18"/>
                <w:szCs w:val="18"/>
              </w:rPr>
              <w:t>　</w:t>
            </w:r>
          </w:p>
        </w:tc>
        <w:tc>
          <w:tcPr>
            <w:tcW w:w="1140"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w:t>
            </w:r>
            <w:r>
              <w:rPr>
                <w:rFonts w:ascii="Times New Roman" w:hAnsi="Times New Roman" w:eastAsia="仿宋_GB2312"/>
                <w:color w:val="000000"/>
                <w:sz w:val="18"/>
                <w:szCs w:val="18"/>
              </w:rPr>
              <w:t>　</w:t>
            </w:r>
          </w:p>
        </w:tc>
        <w:tc>
          <w:tcPr>
            <w:tcW w:w="832"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877"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1146"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center"/>
              <w:rPr>
                <w:rFonts w:ascii="Times New Roman" w:hAnsi="Times New Roman" w:eastAsia="仿宋_GB2312"/>
                <w:color w:val="000000"/>
                <w:sz w:val="18"/>
                <w:szCs w:val="18"/>
              </w:rPr>
            </w:pPr>
          </w:p>
        </w:tc>
        <w:tc>
          <w:tcPr>
            <w:tcW w:w="1085" w:type="dxa"/>
            <w:vMerge w:val="continue"/>
            <w:noWrap w:val="0"/>
            <w:vAlign w:val="center"/>
          </w:tcPr>
          <w:p>
            <w:pPr>
              <w:jc w:val="left"/>
              <w:rPr>
                <w:rFonts w:ascii="Times New Roman" w:hAnsi="Times New Roman" w:eastAsia="仿宋_GB2312"/>
                <w:color w:val="000000"/>
                <w:sz w:val="18"/>
                <w:szCs w:val="18"/>
              </w:rPr>
            </w:pPr>
          </w:p>
        </w:tc>
        <w:tc>
          <w:tcPr>
            <w:tcW w:w="1085"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可持续影响指标</w:t>
            </w:r>
          </w:p>
        </w:tc>
        <w:tc>
          <w:tcPr>
            <w:tcW w:w="1230" w:type="dxa"/>
            <w:noWrap w:val="0"/>
            <w:vAlign w:val="center"/>
          </w:tcPr>
          <w:p>
            <w:pPr>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弘扬革命历史，传承红色文化、普及红色教育</w:t>
            </w:r>
          </w:p>
        </w:tc>
        <w:tc>
          <w:tcPr>
            <w:tcW w:w="1140"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全面普及</w:t>
            </w:r>
            <w:r>
              <w:rPr>
                <w:rFonts w:ascii="Times New Roman" w:hAnsi="Times New Roman" w:eastAsia="仿宋_GB2312"/>
                <w:color w:val="000000"/>
                <w:sz w:val="18"/>
                <w:szCs w:val="18"/>
              </w:rPr>
              <w:t>　</w:t>
            </w:r>
          </w:p>
        </w:tc>
        <w:tc>
          <w:tcPr>
            <w:tcW w:w="1140"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普及</w:t>
            </w:r>
            <w:r>
              <w:rPr>
                <w:rFonts w:ascii="Times New Roman" w:hAnsi="Times New Roman" w:eastAsia="仿宋_GB2312"/>
                <w:color w:val="000000"/>
                <w:sz w:val="18"/>
                <w:szCs w:val="18"/>
              </w:rPr>
              <w:t>　</w:t>
            </w:r>
          </w:p>
        </w:tc>
        <w:tc>
          <w:tcPr>
            <w:tcW w:w="832"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15</w:t>
            </w:r>
            <w:r>
              <w:rPr>
                <w:rFonts w:ascii="Times New Roman" w:hAnsi="Times New Roman" w:eastAsia="仿宋_GB2312"/>
                <w:color w:val="000000"/>
                <w:sz w:val="18"/>
                <w:szCs w:val="18"/>
              </w:rPr>
              <w:t>　</w:t>
            </w:r>
          </w:p>
        </w:tc>
        <w:tc>
          <w:tcPr>
            <w:tcW w:w="877"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13</w:t>
            </w:r>
            <w:r>
              <w:rPr>
                <w:rFonts w:ascii="Times New Roman" w:hAnsi="Times New Roman" w:eastAsia="仿宋_GB2312"/>
                <w:color w:val="000000"/>
                <w:sz w:val="18"/>
                <w:szCs w:val="18"/>
              </w:rPr>
              <w:t>　</w:t>
            </w:r>
          </w:p>
        </w:tc>
        <w:tc>
          <w:tcPr>
            <w:tcW w:w="1146"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 xml:space="preserve">不断在普及红色教育，但是还存在进一步的空间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ascii="Times New Roman" w:hAnsi="Times New Roman" w:eastAsia="仿宋_GB2312"/>
                <w:color w:val="000000"/>
                <w:sz w:val="18"/>
                <w:szCs w:val="18"/>
              </w:rPr>
            </w:pPr>
          </w:p>
        </w:tc>
        <w:tc>
          <w:tcPr>
            <w:tcW w:w="1085"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满意度</w:t>
            </w:r>
          </w:p>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指标</w:t>
            </w:r>
          </w:p>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（10分）</w:t>
            </w:r>
          </w:p>
        </w:tc>
        <w:tc>
          <w:tcPr>
            <w:tcW w:w="1085"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服务对象满意度指标</w:t>
            </w:r>
          </w:p>
        </w:tc>
        <w:tc>
          <w:tcPr>
            <w:tcW w:w="1230"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市民游客满意度</w:t>
            </w:r>
          </w:p>
        </w:tc>
        <w:tc>
          <w:tcPr>
            <w:tcW w:w="1140"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98%</w:t>
            </w:r>
            <w:r>
              <w:rPr>
                <w:rFonts w:ascii="Times New Roman" w:hAnsi="Times New Roman" w:eastAsia="仿宋_GB2312"/>
                <w:color w:val="000000"/>
                <w:sz w:val="18"/>
                <w:szCs w:val="18"/>
              </w:rPr>
              <w:t>　</w:t>
            </w:r>
          </w:p>
        </w:tc>
        <w:tc>
          <w:tcPr>
            <w:tcW w:w="1140"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95%</w:t>
            </w:r>
            <w:r>
              <w:rPr>
                <w:rFonts w:ascii="Times New Roman" w:hAnsi="Times New Roman" w:eastAsia="仿宋_GB2312"/>
                <w:color w:val="000000"/>
                <w:sz w:val="18"/>
                <w:szCs w:val="18"/>
              </w:rPr>
              <w:t>　</w:t>
            </w:r>
          </w:p>
        </w:tc>
        <w:tc>
          <w:tcPr>
            <w:tcW w:w="832"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10</w:t>
            </w:r>
            <w:r>
              <w:rPr>
                <w:rFonts w:ascii="Times New Roman" w:hAnsi="Times New Roman" w:eastAsia="仿宋_GB2312"/>
                <w:color w:val="000000"/>
                <w:sz w:val="18"/>
                <w:szCs w:val="18"/>
              </w:rPr>
              <w:t>　</w:t>
            </w:r>
          </w:p>
        </w:tc>
        <w:tc>
          <w:tcPr>
            <w:tcW w:w="877"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8</w:t>
            </w:r>
            <w:r>
              <w:rPr>
                <w:rFonts w:ascii="Times New Roman" w:hAnsi="Times New Roman" w:eastAsia="仿宋_GB2312"/>
                <w:color w:val="000000"/>
                <w:sz w:val="18"/>
                <w:szCs w:val="18"/>
              </w:rPr>
              <w:t>　</w:t>
            </w:r>
          </w:p>
        </w:tc>
        <w:tc>
          <w:tcPr>
            <w:tcW w:w="1146" w:type="dxa"/>
            <w:noWrap w:val="0"/>
            <w:vAlign w:val="center"/>
          </w:tcPr>
          <w:p>
            <w:pPr>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还有很多方面有待提升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6601" w:type="dxa"/>
            <w:gridSpan w:val="6"/>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总分</w:t>
            </w:r>
          </w:p>
        </w:tc>
        <w:tc>
          <w:tcPr>
            <w:tcW w:w="832"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100</w:t>
            </w:r>
          </w:p>
        </w:tc>
        <w:tc>
          <w:tcPr>
            <w:tcW w:w="877"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94</w:t>
            </w:r>
          </w:p>
        </w:tc>
        <w:tc>
          <w:tcPr>
            <w:tcW w:w="1146"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bl>
    <w:p>
      <w:pPr>
        <w:jc w:val="left"/>
        <w:rPr>
          <w:rFonts w:ascii="Times New Roman" w:hAnsi="Times New Roman" w:eastAsia="仿宋_GB2312"/>
          <w:sz w:val="18"/>
          <w:szCs w:val="18"/>
        </w:rPr>
      </w:pPr>
      <w:r>
        <w:rPr>
          <w:rFonts w:ascii="Times New Roman" w:hAnsi="Times New Roman" w:eastAsia="仿宋_GB2312"/>
          <w:sz w:val="18"/>
          <w:szCs w:val="18"/>
        </w:rPr>
        <w:t>备注：每个项目支出分别填报自评报告和自评表。</w:t>
      </w:r>
    </w:p>
    <w:p>
      <w:pPr>
        <w:jc w:val="left"/>
        <w:rPr>
          <w:rFonts w:ascii="Times New Roman" w:hAnsi="Times New Roman" w:eastAsia="仿宋_GB2312"/>
          <w:sz w:val="18"/>
          <w:szCs w:val="18"/>
        </w:rPr>
      </w:pPr>
    </w:p>
    <w:p>
      <w:pPr>
        <w:pStyle w:val="2"/>
        <w:rPr>
          <w:rFonts w:ascii="Times New Roman" w:hAnsi="Times New Roman" w:eastAsia="黑体"/>
          <w:color w:val="000000"/>
          <w:sz w:val="32"/>
          <w:szCs w:val="32"/>
        </w:rPr>
      </w:pPr>
      <w:r>
        <w:rPr>
          <w:rFonts w:ascii="Times New Roman" w:hAnsi="Times New Roman" w:eastAsia="仿宋_GB2312"/>
          <w:sz w:val="22"/>
        </w:rPr>
        <w:t>填表人：</w:t>
      </w:r>
      <w:r>
        <w:rPr>
          <w:rFonts w:hint="eastAsia" w:ascii="Times New Roman" w:hAnsi="Times New Roman" w:eastAsia="仿宋_GB2312"/>
          <w:sz w:val="22"/>
        </w:rPr>
        <w:t>刘青</w:t>
      </w:r>
      <w:r>
        <w:rPr>
          <w:rFonts w:ascii="Times New Roman" w:hAnsi="Times New Roman" w:eastAsia="仿宋_GB2312"/>
          <w:sz w:val="22"/>
        </w:rPr>
        <w:t xml:space="preserve">  填报日期：</w:t>
      </w:r>
      <w:r>
        <w:rPr>
          <w:rFonts w:hint="eastAsia" w:ascii="Times New Roman" w:hAnsi="Times New Roman" w:eastAsia="仿宋_GB2312"/>
          <w:sz w:val="22"/>
        </w:rPr>
        <w:t>2022年4月16日</w:t>
      </w:r>
      <w:r>
        <w:rPr>
          <w:rFonts w:ascii="Times New Roman" w:hAnsi="Times New Roman" w:eastAsia="仿宋_GB2312"/>
          <w:sz w:val="22"/>
        </w:rPr>
        <w:t xml:space="preserve"> 联系电话： </w:t>
      </w:r>
      <w:r>
        <w:rPr>
          <w:rFonts w:hint="eastAsia" w:ascii="Times New Roman" w:hAnsi="Times New Roman" w:eastAsia="仿宋_GB2312"/>
          <w:sz w:val="22"/>
        </w:rPr>
        <w:t>13873563276</w:t>
      </w:r>
      <w:r>
        <w:rPr>
          <w:rFonts w:ascii="Times New Roman" w:hAnsi="Times New Roman" w:eastAsia="仿宋_GB2312"/>
          <w:sz w:val="22"/>
        </w:rPr>
        <w:t xml:space="preserve">  单位负责人签字：</w:t>
      </w:r>
    </w:p>
    <w:p>
      <w:pPr>
        <w:pStyle w:val="2"/>
        <w:rPr>
          <w:rFonts w:ascii="Times New Roman" w:hAnsi="Times New Roman" w:eastAsia="仿宋_GB2312"/>
          <w:sz w:val="18"/>
          <w:szCs w:val="18"/>
        </w:rPr>
      </w:pPr>
    </w:p>
    <w:p>
      <w:pPr>
        <w:pStyle w:val="2"/>
        <w:rPr>
          <w:rFonts w:ascii="Times New Roman" w:hAnsi="Times New Roman" w:eastAsia="仿宋_GB2312"/>
          <w:sz w:val="18"/>
          <w:szCs w:val="18"/>
        </w:rPr>
      </w:pPr>
    </w:p>
    <w:p>
      <w:pPr>
        <w:widowControl/>
        <w:spacing w:line="600" w:lineRule="exact"/>
        <w:jc w:val="left"/>
        <w:rPr>
          <w:rFonts w:hint="eastAsia" w:ascii="黑体" w:eastAsia="黑体" w:cs="黑体"/>
          <w:color w:val="000000"/>
          <w:sz w:val="32"/>
          <w:szCs w:val="32"/>
        </w:rPr>
      </w:pPr>
    </w:p>
    <w:p>
      <w:pPr>
        <w:widowControl/>
        <w:spacing w:line="600" w:lineRule="exact"/>
        <w:jc w:val="left"/>
        <w:rPr>
          <w:rFonts w:hint="eastAsia" w:ascii="黑体" w:eastAsia="黑体" w:cs="黑体"/>
          <w:color w:val="000000"/>
          <w:sz w:val="32"/>
          <w:szCs w:val="32"/>
        </w:rPr>
      </w:pPr>
    </w:p>
    <w:p>
      <w:pPr>
        <w:widowControl/>
        <w:spacing w:line="600" w:lineRule="exact"/>
        <w:jc w:val="left"/>
        <w:rPr>
          <w:rFonts w:hint="eastAsia" w:ascii="黑体" w:eastAsia="黑体" w:cs="黑体"/>
          <w:color w:val="000000"/>
          <w:sz w:val="32"/>
          <w:szCs w:val="32"/>
        </w:rPr>
      </w:pPr>
    </w:p>
    <w:p>
      <w:pPr>
        <w:widowControl/>
        <w:spacing w:line="600" w:lineRule="exact"/>
        <w:jc w:val="left"/>
        <w:rPr>
          <w:rFonts w:hint="eastAsia" w:ascii="黑体" w:eastAsia="黑体" w:cs="黑体"/>
          <w:color w:val="000000"/>
          <w:sz w:val="32"/>
          <w:szCs w:val="32"/>
        </w:rPr>
      </w:pPr>
    </w:p>
    <w:p>
      <w:pPr>
        <w:widowControl/>
        <w:spacing w:line="600" w:lineRule="exact"/>
        <w:jc w:val="left"/>
        <w:rPr>
          <w:rFonts w:hint="eastAsia" w:ascii="黑体" w:eastAsia="黑体" w:cs="黑体"/>
          <w:color w:val="000000"/>
          <w:sz w:val="32"/>
          <w:szCs w:val="32"/>
        </w:rPr>
      </w:pPr>
    </w:p>
    <w:p>
      <w:pPr>
        <w:widowControl/>
        <w:spacing w:line="600" w:lineRule="exact"/>
        <w:jc w:val="left"/>
        <w:rPr>
          <w:rFonts w:hint="eastAsia" w:ascii="黑体" w:eastAsia="黑体" w:cs="黑体"/>
          <w:color w:val="000000"/>
          <w:sz w:val="32"/>
          <w:szCs w:val="32"/>
        </w:rPr>
      </w:pPr>
    </w:p>
    <w:p>
      <w:pPr>
        <w:widowControl/>
        <w:spacing w:line="600" w:lineRule="exact"/>
        <w:jc w:val="left"/>
        <w:rPr>
          <w:rFonts w:hint="eastAsia" w:ascii="黑体" w:eastAsia="黑体" w:cs="黑体"/>
          <w:color w:val="000000"/>
          <w:sz w:val="32"/>
          <w:szCs w:val="32"/>
        </w:rPr>
      </w:pPr>
    </w:p>
    <w:p>
      <w:pPr>
        <w:widowControl/>
        <w:spacing w:line="600" w:lineRule="exact"/>
        <w:jc w:val="left"/>
        <w:rPr>
          <w:rFonts w:hint="eastAsia" w:ascii="黑体" w:eastAsia="黑体" w:cs="黑体"/>
          <w:color w:val="000000"/>
          <w:sz w:val="32"/>
          <w:szCs w:val="32"/>
        </w:rPr>
      </w:pPr>
    </w:p>
    <w:p>
      <w:pPr>
        <w:widowControl/>
        <w:spacing w:line="600" w:lineRule="exact"/>
        <w:jc w:val="left"/>
        <w:rPr>
          <w:rFonts w:hint="eastAsia" w:ascii="黑体" w:eastAsia="黑体" w:cs="黑体"/>
          <w:color w:val="000000"/>
          <w:sz w:val="32"/>
          <w:szCs w:val="32"/>
        </w:rPr>
      </w:pPr>
    </w:p>
    <w:p>
      <w:pPr>
        <w:widowControl/>
        <w:spacing w:line="600" w:lineRule="exact"/>
        <w:jc w:val="left"/>
        <w:rPr>
          <w:rFonts w:hint="eastAsia" w:ascii="黑体" w:eastAsia="黑体" w:cs="黑体"/>
          <w:color w:val="000000"/>
          <w:sz w:val="32"/>
          <w:szCs w:val="32"/>
        </w:rPr>
      </w:pPr>
    </w:p>
    <w:p>
      <w:pPr>
        <w:widowControl/>
        <w:spacing w:line="600" w:lineRule="exact"/>
        <w:jc w:val="left"/>
        <w:rPr>
          <w:rFonts w:hint="eastAsia" w:ascii="黑体" w:eastAsia="黑体" w:cs="黑体"/>
          <w:color w:val="000000"/>
          <w:sz w:val="32"/>
          <w:szCs w:val="32"/>
        </w:rPr>
      </w:pPr>
    </w:p>
    <w:p>
      <w:pPr>
        <w:widowControl/>
        <w:spacing w:line="600" w:lineRule="exact"/>
        <w:jc w:val="left"/>
        <w:rPr>
          <w:rFonts w:hint="eastAsia" w:ascii="黑体" w:eastAsia="黑体" w:cs="黑体"/>
          <w:color w:val="000000"/>
          <w:sz w:val="32"/>
          <w:szCs w:val="32"/>
        </w:rPr>
      </w:pPr>
    </w:p>
    <w:p>
      <w:pPr>
        <w:widowControl/>
        <w:spacing w:line="600" w:lineRule="exact"/>
        <w:jc w:val="left"/>
        <w:rPr>
          <w:rFonts w:hint="eastAsia" w:ascii="黑体" w:eastAsia="黑体" w:cs="黑体"/>
          <w:color w:val="000000"/>
          <w:sz w:val="32"/>
          <w:szCs w:val="32"/>
        </w:rPr>
      </w:pPr>
    </w:p>
    <w:p>
      <w:pPr>
        <w:widowControl/>
        <w:spacing w:line="600" w:lineRule="exact"/>
        <w:jc w:val="left"/>
        <w:rPr>
          <w:rFonts w:ascii="黑体" w:eastAsia="黑体" w:cs="黑体"/>
          <w:color w:val="000000"/>
          <w:sz w:val="32"/>
          <w:szCs w:val="32"/>
        </w:rPr>
      </w:pPr>
      <w:r>
        <w:rPr>
          <w:rFonts w:hint="eastAsia" w:ascii="黑体" w:eastAsia="黑体" w:cs="黑体"/>
          <w:color w:val="000000"/>
          <w:sz w:val="32"/>
          <w:szCs w:val="32"/>
        </w:rPr>
        <w:t>附件4</w:t>
      </w:r>
    </w:p>
    <w:p>
      <w:pPr>
        <w:widowControl/>
        <w:jc w:val="left"/>
        <w:rPr>
          <w:rFonts w:ascii="宋体" w:cs="宋体"/>
          <w:bCs/>
          <w:sz w:val="32"/>
          <w:szCs w:val="32"/>
        </w:rPr>
      </w:pPr>
    </w:p>
    <w:p>
      <w:pPr>
        <w:widowControl/>
        <w:spacing w:line="576" w:lineRule="exact"/>
        <w:jc w:val="center"/>
        <w:rPr>
          <w:rFonts w:ascii="方正小标宋_GBK" w:eastAsia="方正小标宋_GBK" w:cs="方正小标宋_GBK"/>
          <w:sz w:val="36"/>
          <w:szCs w:val="36"/>
          <w:u w:val="single"/>
        </w:rPr>
      </w:pPr>
      <w:r>
        <w:rPr>
          <w:rFonts w:hint="eastAsia" w:ascii="方正小标宋_GBK" w:eastAsia="方正小标宋_GBK" w:cs="方正小标宋_GBK"/>
          <w:bCs/>
          <w:sz w:val="36"/>
          <w:szCs w:val="36"/>
        </w:rPr>
        <w:t>2021年度项目支出绩效自评报告</w:t>
      </w:r>
    </w:p>
    <w:tbl>
      <w:tblPr>
        <w:tblStyle w:val="7"/>
        <w:tblpPr w:leftFromText="180" w:rightFromText="180" w:vertAnchor="text" w:horzAnchor="margin" w:tblpXSpec="center" w:tblpY="189"/>
        <w:tblW w:w="9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7"/>
        <w:gridCol w:w="1985"/>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67" w:type="dxa"/>
            <w:vMerge w:val="restart"/>
            <w:noWrap w:val="0"/>
            <w:vAlign w:val="center"/>
          </w:tcPr>
          <w:p>
            <w:pPr>
              <w:spacing w:line="576" w:lineRule="exact"/>
              <w:jc w:val="center"/>
              <w:rPr>
                <w:rFonts w:hint="eastAsia" w:eastAsia="仿宋" w:cs="仿宋"/>
                <w:sz w:val="18"/>
                <w:szCs w:val="18"/>
              </w:rPr>
            </w:pPr>
            <w:r>
              <w:rPr>
                <w:rFonts w:hint="eastAsia" w:eastAsia="仿宋" w:cs="仿宋"/>
                <w:sz w:val="18"/>
                <w:szCs w:val="18"/>
              </w:rPr>
              <w:t>部门概况</w:t>
            </w:r>
          </w:p>
        </w:tc>
        <w:tc>
          <w:tcPr>
            <w:tcW w:w="1985" w:type="dxa"/>
            <w:noWrap w:val="0"/>
            <w:vAlign w:val="center"/>
          </w:tcPr>
          <w:p>
            <w:pPr>
              <w:spacing w:line="576" w:lineRule="exact"/>
              <w:jc w:val="center"/>
              <w:rPr>
                <w:rFonts w:hint="eastAsia" w:eastAsia="仿宋" w:cs="仿宋"/>
                <w:sz w:val="18"/>
                <w:szCs w:val="18"/>
              </w:rPr>
            </w:pPr>
            <w:r>
              <w:rPr>
                <w:rFonts w:hint="eastAsia" w:eastAsia="仿宋" w:cs="仿宋"/>
                <w:sz w:val="18"/>
                <w:szCs w:val="18"/>
              </w:rPr>
              <w:t>专项名称</w:t>
            </w:r>
          </w:p>
        </w:tc>
        <w:tc>
          <w:tcPr>
            <w:tcW w:w="5670" w:type="dxa"/>
            <w:noWrap w:val="0"/>
            <w:vAlign w:val="center"/>
          </w:tcPr>
          <w:p>
            <w:pPr>
              <w:spacing w:line="576" w:lineRule="exact"/>
              <w:ind w:right="98" w:rightChars="47"/>
              <w:jc w:val="center"/>
              <w:rPr>
                <w:rFonts w:hint="eastAsia" w:eastAsia="仿宋" w:cs="仿宋"/>
                <w:sz w:val="18"/>
                <w:szCs w:val="18"/>
              </w:rPr>
            </w:pPr>
            <w:r>
              <w:rPr>
                <w:rFonts w:hint="eastAsia" w:eastAsia="仿宋" w:cs="仿宋"/>
                <w:sz w:val="18"/>
                <w:szCs w:val="18"/>
              </w:rPr>
              <w:t>湘南起义纪念馆消防及布展资金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67" w:type="dxa"/>
            <w:vMerge w:val="continue"/>
            <w:noWrap w:val="0"/>
            <w:vAlign w:val="top"/>
          </w:tcPr>
          <w:p>
            <w:pPr>
              <w:rPr>
                <w:rFonts w:hint="eastAsia" w:eastAsia="仿宋" w:cs="仿宋"/>
                <w:sz w:val="18"/>
                <w:szCs w:val="18"/>
              </w:rPr>
            </w:pPr>
          </w:p>
        </w:tc>
        <w:tc>
          <w:tcPr>
            <w:tcW w:w="1985" w:type="dxa"/>
            <w:noWrap w:val="0"/>
            <w:vAlign w:val="center"/>
          </w:tcPr>
          <w:p>
            <w:pPr>
              <w:spacing w:line="576" w:lineRule="exact"/>
              <w:jc w:val="center"/>
              <w:rPr>
                <w:rFonts w:hint="eastAsia" w:eastAsia="仿宋" w:cs="仿宋"/>
                <w:sz w:val="18"/>
                <w:szCs w:val="18"/>
              </w:rPr>
            </w:pPr>
            <w:r>
              <w:rPr>
                <w:rFonts w:hint="eastAsia" w:eastAsia="仿宋" w:cs="仿宋"/>
                <w:sz w:val="18"/>
                <w:szCs w:val="18"/>
              </w:rPr>
              <w:t>年度预算金额</w:t>
            </w:r>
          </w:p>
        </w:tc>
        <w:tc>
          <w:tcPr>
            <w:tcW w:w="5670" w:type="dxa"/>
            <w:noWrap w:val="0"/>
            <w:vAlign w:val="center"/>
          </w:tcPr>
          <w:p>
            <w:pPr>
              <w:spacing w:line="576" w:lineRule="exact"/>
              <w:ind w:right="98" w:rightChars="47"/>
              <w:jc w:val="center"/>
              <w:rPr>
                <w:rFonts w:hint="eastAsia" w:eastAsia="仿宋" w:cs="仿宋"/>
                <w:sz w:val="18"/>
                <w:szCs w:val="18"/>
              </w:rPr>
            </w:pPr>
            <w:r>
              <w:rPr>
                <w:rFonts w:hint="eastAsia" w:eastAsia="仿宋" w:cs="仿宋"/>
                <w:sz w:val="18"/>
                <w:szCs w:val="18"/>
              </w:rPr>
              <w:t>91.75万元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67" w:type="dxa"/>
            <w:vMerge w:val="continue"/>
            <w:noWrap w:val="0"/>
            <w:vAlign w:val="top"/>
          </w:tcPr>
          <w:p>
            <w:pPr>
              <w:rPr>
                <w:rFonts w:hint="eastAsia" w:eastAsia="仿宋" w:cs="仿宋"/>
                <w:sz w:val="18"/>
                <w:szCs w:val="18"/>
              </w:rPr>
            </w:pPr>
          </w:p>
        </w:tc>
        <w:tc>
          <w:tcPr>
            <w:tcW w:w="1985" w:type="dxa"/>
            <w:noWrap w:val="0"/>
            <w:vAlign w:val="center"/>
          </w:tcPr>
          <w:p>
            <w:pPr>
              <w:spacing w:line="576" w:lineRule="exact"/>
              <w:jc w:val="center"/>
              <w:rPr>
                <w:rFonts w:hint="eastAsia" w:eastAsia="仿宋" w:cs="仿宋"/>
                <w:sz w:val="18"/>
                <w:szCs w:val="18"/>
              </w:rPr>
            </w:pPr>
            <w:r>
              <w:rPr>
                <w:rFonts w:hint="eastAsia" w:eastAsia="仿宋" w:cs="仿宋"/>
                <w:sz w:val="18"/>
                <w:szCs w:val="18"/>
              </w:rPr>
              <w:t>项目主管部门</w:t>
            </w:r>
          </w:p>
        </w:tc>
        <w:tc>
          <w:tcPr>
            <w:tcW w:w="5670" w:type="dxa"/>
            <w:noWrap w:val="0"/>
            <w:vAlign w:val="center"/>
          </w:tcPr>
          <w:p>
            <w:pPr>
              <w:spacing w:line="576" w:lineRule="exact"/>
              <w:ind w:right="98" w:rightChars="47"/>
              <w:jc w:val="center"/>
              <w:rPr>
                <w:rFonts w:hint="eastAsia" w:eastAsia="仿宋" w:cs="仿宋"/>
                <w:sz w:val="18"/>
                <w:szCs w:val="18"/>
              </w:rPr>
            </w:pPr>
            <w:r>
              <w:rPr>
                <w:rFonts w:hint="eastAsia" w:eastAsia="仿宋" w:cs="仿宋"/>
                <w:sz w:val="18"/>
                <w:szCs w:val="18"/>
              </w:rPr>
              <w:t>郴州市文化旅游广电局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67" w:type="dxa"/>
            <w:vMerge w:val="continue"/>
            <w:noWrap w:val="0"/>
            <w:vAlign w:val="top"/>
          </w:tcPr>
          <w:p>
            <w:pPr>
              <w:rPr>
                <w:rFonts w:hint="eastAsia" w:eastAsia="仿宋" w:cs="仿宋"/>
                <w:sz w:val="18"/>
                <w:szCs w:val="18"/>
              </w:rPr>
            </w:pPr>
          </w:p>
        </w:tc>
        <w:tc>
          <w:tcPr>
            <w:tcW w:w="1985" w:type="dxa"/>
            <w:noWrap w:val="0"/>
            <w:vAlign w:val="center"/>
          </w:tcPr>
          <w:p>
            <w:pPr>
              <w:spacing w:line="576" w:lineRule="exact"/>
              <w:jc w:val="center"/>
              <w:rPr>
                <w:rFonts w:hint="eastAsia" w:eastAsia="仿宋" w:cs="仿宋"/>
                <w:sz w:val="18"/>
                <w:szCs w:val="18"/>
              </w:rPr>
            </w:pPr>
            <w:r>
              <w:rPr>
                <w:rFonts w:hint="eastAsia" w:eastAsia="仿宋" w:cs="仿宋"/>
                <w:sz w:val="18"/>
                <w:szCs w:val="18"/>
              </w:rPr>
              <w:t>项目立项目的</w:t>
            </w:r>
          </w:p>
        </w:tc>
        <w:tc>
          <w:tcPr>
            <w:tcW w:w="5670" w:type="dxa"/>
            <w:noWrap w:val="0"/>
            <w:vAlign w:val="center"/>
          </w:tcPr>
          <w:p>
            <w:pPr>
              <w:ind w:right="98" w:rightChars="47"/>
              <w:jc w:val="left"/>
              <w:rPr>
                <w:rFonts w:hint="eastAsia" w:eastAsia="仿宋" w:cs="仿宋"/>
                <w:sz w:val="18"/>
                <w:szCs w:val="18"/>
              </w:rPr>
            </w:pPr>
            <w:r>
              <w:rPr>
                <w:rFonts w:hint="eastAsia" w:eastAsia="仿宋" w:cs="仿宋"/>
                <w:sz w:val="18"/>
                <w:szCs w:val="18"/>
              </w:rPr>
              <w:t>根据《2018年中央补助地方博物馆纪念馆免费开放资金的通知》（湘财政[2018]47号）精神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67" w:type="dxa"/>
            <w:vMerge w:val="restart"/>
            <w:noWrap w:val="0"/>
            <w:vAlign w:val="center"/>
          </w:tcPr>
          <w:p>
            <w:pPr>
              <w:spacing w:line="576" w:lineRule="exact"/>
              <w:jc w:val="center"/>
              <w:rPr>
                <w:rFonts w:hint="eastAsia" w:eastAsia="仿宋" w:cs="仿宋"/>
                <w:sz w:val="18"/>
                <w:szCs w:val="18"/>
              </w:rPr>
            </w:pPr>
            <w:r>
              <w:rPr>
                <w:rFonts w:hint="eastAsia" w:eastAsia="仿宋" w:cs="仿宋"/>
                <w:sz w:val="18"/>
                <w:szCs w:val="18"/>
              </w:rPr>
              <w:t>绩效情况</w:t>
            </w:r>
          </w:p>
        </w:tc>
        <w:tc>
          <w:tcPr>
            <w:tcW w:w="1985" w:type="dxa"/>
            <w:noWrap w:val="0"/>
            <w:vAlign w:val="center"/>
          </w:tcPr>
          <w:p>
            <w:pPr>
              <w:spacing w:line="576" w:lineRule="exact"/>
              <w:jc w:val="center"/>
              <w:rPr>
                <w:rFonts w:hint="eastAsia" w:eastAsia="仿宋" w:cs="仿宋"/>
                <w:sz w:val="18"/>
                <w:szCs w:val="18"/>
              </w:rPr>
            </w:pPr>
            <w:r>
              <w:rPr>
                <w:rFonts w:hint="eastAsia" w:eastAsia="仿宋" w:cs="仿宋"/>
                <w:sz w:val="18"/>
                <w:szCs w:val="18"/>
              </w:rPr>
              <w:t>项目支出管理和使用基本情况</w:t>
            </w:r>
          </w:p>
        </w:tc>
        <w:tc>
          <w:tcPr>
            <w:tcW w:w="5670" w:type="dxa"/>
            <w:noWrap w:val="0"/>
            <w:vAlign w:val="center"/>
          </w:tcPr>
          <w:p>
            <w:pPr>
              <w:ind w:right="98" w:rightChars="47"/>
              <w:jc w:val="left"/>
              <w:rPr>
                <w:rFonts w:hint="eastAsia" w:eastAsia="仿宋" w:cs="仿宋"/>
                <w:sz w:val="18"/>
                <w:szCs w:val="18"/>
              </w:rPr>
            </w:pPr>
            <w:r>
              <w:rPr>
                <w:rFonts w:hint="eastAsia" w:eastAsia="仿宋" w:cs="仿宋"/>
                <w:sz w:val="18"/>
                <w:szCs w:val="18"/>
              </w:rPr>
              <w:t>根据《2018年中央补助地方博物馆纪念馆免费开放资金的通知》（湘财政[2018]47号）精神。1、按计划、按进度申报资金，2、按项目预算设定的用途使用。3、上年结转91.75万元，实际支出91.75万元，该资金主要用于纪念馆布展工程和消防工程款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trPr>
        <w:tc>
          <w:tcPr>
            <w:tcW w:w="1567" w:type="dxa"/>
            <w:vMerge w:val="continue"/>
            <w:noWrap w:val="0"/>
            <w:vAlign w:val="top"/>
          </w:tcPr>
          <w:p>
            <w:pPr>
              <w:rPr>
                <w:rFonts w:hint="eastAsia" w:eastAsia="仿宋" w:cs="仿宋"/>
                <w:sz w:val="18"/>
                <w:szCs w:val="18"/>
              </w:rPr>
            </w:pPr>
          </w:p>
        </w:tc>
        <w:tc>
          <w:tcPr>
            <w:tcW w:w="1985" w:type="dxa"/>
            <w:noWrap w:val="0"/>
            <w:vAlign w:val="center"/>
          </w:tcPr>
          <w:p>
            <w:pPr>
              <w:spacing w:line="576" w:lineRule="exact"/>
              <w:jc w:val="center"/>
              <w:rPr>
                <w:rFonts w:hint="eastAsia" w:eastAsia="仿宋" w:cs="仿宋"/>
                <w:sz w:val="18"/>
                <w:szCs w:val="18"/>
              </w:rPr>
            </w:pPr>
            <w:r>
              <w:rPr>
                <w:rFonts w:hint="eastAsia" w:eastAsia="仿宋" w:cs="仿宋"/>
                <w:sz w:val="18"/>
                <w:szCs w:val="18"/>
              </w:rPr>
              <w:t>项目绩效目标完成情况</w:t>
            </w:r>
          </w:p>
        </w:tc>
        <w:tc>
          <w:tcPr>
            <w:tcW w:w="5670" w:type="dxa"/>
            <w:noWrap w:val="0"/>
            <w:vAlign w:val="center"/>
          </w:tcPr>
          <w:p>
            <w:pPr>
              <w:spacing w:line="576" w:lineRule="exact"/>
              <w:ind w:right="98" w:rightChars="47"/>
              <w:rPr>
                <w:rFonts w:hint="eastAsia"/>
              </w:rPr>
            </w:pPr>
            <w:r>
              <w:rPr>
                <w:rFonts w:hint="eastAsia" w:eastAsia="仿宋" w:cs="仿宋"/>
                <w:sz w:val="18"/>
                <w:szCs w:val="18"/>
              </w:rPr>
              <w:t>1、2021年对纪念馆开展陈列布展</w:t>
            </w:r>
          </w:p>
          <w:p>
            <w:pPr>
              <w:pStyle w:val="2"/>
              <w:rPr>
                <w:rFonts w:hint="eastAsia" w:eastAsia="仿宋" w:cs="仿宋"/>
                <w:sz w:val="18"/>
                <w:szCs w:val="18"/>
              </w:rPr>
            </w:pPr>
            <w:r>
              <w:rPr>
                <w:rFonts w:hint="eastAsia" w:eastAsia="仿宋" w:cs="仿宋"/>
                <w:sz w:val="18"/>
                <w:szCs w:val="18"/>
              </w:rPr>
              <w:t>2、对纪念馆展厅进行提质改造</w:t>
            </w:r>
          </w:p>
          <w:p>
            <w:pPr>
              <w:pStyle w:val="2"/>
              <w:numPr>
                <w:ilvl w:val="0"/>
                <w:numId w:val="6"/>
              </w:numPr>
              <w:rPr>
                <w:rFonts w:eastAsia="仿宋" w:cs="仿宋"/>
                <w:sz w:val="18"/>
                <w:szCs w:val="18"/>
              </w:rPr>
            </w:pPr>
            <w:r>
              <w:rPr>
                <w:rFonts w:hint="eastAsia" w:eastAsia="仿宋" w:cs="仿宋"/>
                <w:sz w:val="18"/>
                <w:szCs w:val="18"/>
              </w:rPr>
              <w:t>解决消防隐患，完善纪念馆展厅的消防工程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567" w:type="dxa"/>
            <w:vMerge w:val="restart"/>
            <w:noWrap w:val="0"/>
            <w:vAlign w:val="center"/>
          </w:tcPr>
          <w:p>
            <w:pPr>
              <w:spacing w:line="576" w:lineRule="exact"/>
              <w:jc w:val="center"/>
              <w:rPr>
                <w:rFonts w:hint="eastAsia" w:eastAsia="仿宋" w:cs="仿宋"/>
                <w:sz w:val="18"/>
                <w:szCs w:val="18"/>
              </w:rPr>
            </w:pPr>
            <w:r>
              <w:rPr>
                <w:rFonts w:hint="eastAsia" w:eastAsia="仿宋" w:cs="仿宋"/>
                <w:sz w:val="18"/>
                <w:szCs w:val="18"/>
              </w:rPr>
              <w:t>存在的问题分析及改进措施</w:t>
            </w:r>
          </w:p>
        </w:tc>
        <w:tc>
          <w:tcPr>
            <w:tcW w:w="1985" w:type="dxa"/>
            <w:noWrap w:val="0"/>
            <w:vAlign w:val="center"/>
          </w:tcPr>
          <w:p>
            <w:pPr>
              <w:spacing w:line="576" w:lineRule="exact"/>
              <w:jc w:val="center"/>
              <w:rPr>
                <w:rFonts w:hint="eastAsia" w:eastAsia="仿宋" w:cs="仿宋"/>
                <w:sz w:val="18"/>
                <w:szCs w:val="18"/>
              </w:rPr>
            </w:pPr>
            <w:r>
              <w:rPr>
                <w:rFonts w:hint="eastAsia" w:eastAsia="仿宋" w:cs="仿宋"/>
                <w:sz w:val="18"/>
                <w:szCs w:val="18"/>
              </w:rPr>
              <w:t>存在的问题</w:t>
            </w:r>
          </w:p>
        </w:tc>
        <w:tc>
          <w:tcPr>
            <w:tcW w:w="5670" w:type="dxa"/>
            <w:noWrap w:val="0"/>
            <w:vAlign w:val="center"/>
          </w:tcPr>
          <w:p>
            <w:pPr>
              <w:spacing w:line="576" w:lineRule="exact"/>
              <w:ind w:right="98" w:rightChars="47"/>
              <w:rPr>
                <w:rFonts w:hint="eastAsia" w:eastAsia="仿宋" w:cs="仿宋"/>
                <w:sz w:val="18"/>
                <w:szCs w:val="18"/>
              </w:rPr>
            </w:pPr>
            <w:r>
              <w:rPr>
                <w:rFonts w:hint="eastAsia" w:eastAsia="仿宋" w:cs="仿宋"/>
                <w:sz w:val="18"/>
                <w:szCs w:val="18"/>
              </w:rPr>
              <w:t>疫情影响，部分工作滞后。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1567" w:type="dxa"/>
            <w:vMerge w:val="continue"/>
            <w:noWrap w:val="0"/>
            <w:vAlign w:val="top"/>
          </w:tcPr>
          <w:p>
            <w:pPr>
              <w:rPr>
                <w:rFonts w:hint="eastAsia" w:eastAsia="仿宋" w:cs="仿宋"/>
                <w:sz w:val="18"/>
                <w:szCs w:val="18"/>
              </w:rPr>
            </w:pPr>
          </w:p>
        </w:tc>
        <w:tc>
          <w:tcPr>
            <w:tcW w:w="1985" w:type="dxa"/>
            <w:noWrap w:val="0"/>
            <w:vAlign w:val="center"/>
          </w:tcPr>
          <w:p>
            <w:pPr>
              <w:spacing w:line="576" w:lineRule="exact"/>
              <w:jc w:val="center"/>
              <w:rPr>
                <w:rFonts w:hint="eastAsia" w:eastAsia="仿宋" w:cs="仿宋"/>
                <w:sz w:val="18"/>
                <w:szCs w:val="18"/>
              </w:rPr>
            </w:pPr>
            <w:r>
              <w:rPr>
                <w:rFonts w:hint="eastAsia" w:eastAsia="仿宋" w:cs="仿宋"/>
                <w:sz w:val="18"/>
                <w:szCs w:val="18"/>
              </w:rPr>
              <w:t>改进措施</w:t>
            </w:r>
          </w:p>
        </w:tc>
        <w:tc>
          <w:tcPr>
            <w:tcW w:w="5670" w:type="dxa"/>
            <w:noWrap w:val="0"/>
            <w:vAlign w:val="center"/>
          </w:tcPr>
          <w:p>
            <w:pPr>
              <w:spacing w:line="576" w:lineRule="exact"/>
              <w:ind w:right="98" w:rightChars="47"/>
              <w:rPr>
                <w:rFonts w:hint="eastAsia" w:eastAsia="仿宋" w:cs="仿宋"/>
                <w:sz w:val="18"/>
                <w:szCs w:val="18"/>
              </w:rPr>
            </w:pPr>
            <w:r>
              <w:rPr>
                <w:rFonts w:hint="eastAsia" w:eastAsia="仿宋" w:cs="仿宋"/>
                <w:sz w:val="18"/>
                <w:szCs w:val="18"/>
              </w:rPr>
              <w:t>2021年已按要求完成全部工作。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1567" w:type="dxa"/>
            <w:vMerge w:val="continue"/>
            <w:noWrap w:val="0"/>
            <w:vAlign w:val="top"/>
          </w:tcPr>
          <w:p>
            <w:pPr>
              <w:rPr>
                <w:rFonts w:hint="eastAsia" w:eastAsia="仿宋" w:cs="仿宋"/>
                <w:sz w:val="18"/>
                <w:szCs w:val="18"/>
              </w:rPr>
            </w:pPr>
          </w:p>
        </w:tc>
        <w:tc>
          <w:tcPr>
            <w:tcW w:w="1985" w:type="dxa"/>
            <w:noWrap w:val="0"/>
            <w:vAlign w:val="center"/>
          </w:tcPr>
          <w:p>
            <w:pPr>
              <w:spacing w:line="576" w:lineRule="exact"/>
              <w:jc w:val="center"/>
              <w:rPr>
                <w:rFonts w:hint="eastAsia" w:eastAsia="仿宋" w:cs="仿宋"/>
                <w:sz w:val="18"/>
                <w:szCs w:val="18"/>
              </w:rPr>
            </w:pPr>
            <w:r>
              <w:rPr>
                <w:rFonts w:hint="eastAsia" w:eastAsia="仿宋" w:cs="仿宋"/>
                <w:sz w:val="18"/>
                <w:szCs w:val="18"/>
              </w:rPr>
              <w:t>其他需要说明问题</w:t>
            </w:r>
          </w:p>
        </w:tc>
        <w:tc>
          <w:tcPr>
            <w:tcW w:w="5670" w:type="dxa"/>
            <w:noWrap w:val="0"/>
            <w:vAlign w:val="center"/>
          </w:tcPr>
          <w:p>
            <w:pPr>
              <w:spacing w:line="576" w:lineRule="exact"/>
              <w:ind w:right="98" w:rightChars="47"/>
              <w:rPr>
                <w:rFonts w:hint="eastAsia" w:eastAsia="仿宋" w:cs="仿宋"/>
                <w:sz w:val="18"/>
                <w:szCs w:val="18"/>
              </w:rPr>
            </w:pPr>
          </w:p>
          <w:p>
            <w:pPr>
              <w:spacing w:line="576" w:lineRule="exact"/>
              <w:ind w:right="98" w:rightChars="47"/>
              <w:rPr>
                <w:rFonts w:hint="eastAsia" w:eastAsia="仿宋" w:cs="仿宋"/>
                <w:sz w:val="18"/>
                <w:szCs w:val="18"/>
              </w:rPr>
            </w:pPr>
            <w:r>
              <w:rPr>
                <w:rFonts w:hint="eastAsia" w:eastAsia="仿宋" w:cs="仿宋"/>
                <w:sz w:val="18"/>
                <w:szCs w:val="18"/>
              </w:rPr>
              <w:t>无</w:t>
            </w:r>
          </w:p>
          <w:p>
            <w:pPr>
              <w:spacing w:line="576" w:lineRule="exact"/>
              <w:ind w:right="98" w:rightChars="47"/>
              <w:rPr>
                <w:rFonts w:hint="eastAsia" w:eastAsia="仿宋" w:cs="仿宋"/>
                <w:sz w:val="18"/>
                <w:szCs w:val="18"/>
              </w:rPr>
            </w:pPr>
          </w:p>
        </w:tc>
      </w:tr>
    </w:tbl>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p>
    <w:p>
      <w:pPr>
        <w:jc w:val="left"/>
        <w:rPr>
          <w:rFonts w:hint="eastAsia" w:eastAsia="仿宋" w:cs="仿宋"/>
          <w:sz w:val="18"/>
          <w:szCs w:val="18"/>
        </w:rPr>
      </w:pPr>
      <w:r>
        <w:rPr>
          <w:rFonts w:hint="eastAsia" w:eastAsia="仿宋" w:cs="仿宋"/>
          <w:sz w:val="18"/>
          <w:szCs w:val="18"/>
        </w:rPr>
        <w:t>备注：每个项目支出分别填报自评报告和自评表。</w:t>
      </w:r>
    </w:p>
    <w:p>
      <w:pPr>
        <w:pStyle w:val="2"/>
        <w:rPr>
          <w:rFonts w:ascii="Times New Roman" w:hAnsi="Times New Roman" w:eastAsia="仿宋_GB2312"/>
          <w:sz w:val="22"/>
        </w:rPr>
      </w:pPr>
    </w:p>
    <w:p>
      <w:pPr>
        <w:pStyle w:val="2"/>
        <w:rPr>
          <w:rFonts w:ascii="Times New Roman" w:hAnsi="Times New Roman" w:eastAsia="黑体"/>
          <w:color w:val="000000"/>
          <w:sz w:val="32"/>
          <w:szCs w:val="32"/>
        </w:rPr>
      </w:pPr>
      <w:r>
        <w:rPr>
          <w:rFonts w:ascii="Times New Roman" w:hAnsi="Times New Roman" w:eastAsia="仿宋_GB2312"/>
          <w:sz w:val="22"/>
        </w:rPr>
        <w:t>填表人：</w:t>
      </w:r>
      <w:r>
        <w:rPr>
          <w:rFonts w:hint="eastAsia" w:ascii="Times New Roman" w:hAnsi="Times New Roman" w:eastAsia="仿宋_GB2312"/>
          <w:sz w:val="22"/>
        </w:rPr>
        <w:t>刘青</w:t>
      </w:r>
      <w:r>
        <w:rPr>
          <w:rFonts w:ascii="Times New Roman" w:hAnsi="Times New Roman" w:eastAsia="仿宋_GB2312"/>
          <w:sz w:val="22"/>
        </w:rPr>
        <w:t xml:space="preserve">  填报日期：</w:t>
      </w:r>
      <w:r>
        <w:rPr>
          <w:rFonts w:hint="eastAsia" w:ascii="Times New Roman" w:hAnsi="Times New Roman" w:eastAsia="仿宋_GB2312"/>
          <w:sz w:val="22"/>
        </w:rPr>
        <w:t>2022年4月16日</w:t>
      </w:r>
      <w:r>
        <w:rPr>
          <w:rFonts w:ascii="Times New Roman" w:hAnsi="Times New Roman" w:eastAsia="仿宋_GB2312"/>
          <w:sz w:val="22"/>
        </w:rPr>
        <w:t xml:space="preserve"> 联系电话： </w:t>
      </w:r>
      <w:r>
        <w:rPr>
          <w:rFonts w:hint="eastAsia" w:ascii="Times New Roman" w:hAnsi="Times New Roman" w:eastAsia="仿宋_GB2312"/>
          <w:sz w:val="22"/>
        </w:rPr>
        <w:t>13873563276</w:t>
      </w:r>
      <w:r>
        <w:rPr>
          <w:rFonts w:ascii="Times New Roman" w:hAnsi="Times New Roman" w:eastAsia="仿宋_GB2312"/>
          <w:sz w:val="22"/>
        </w:rPr>
        <w:t xml:space="preserve">  单位负责人签字：</w:t>
      </w:r>
    </w:p>
    <w:p>
      <w:pPr>
        <w:widowControl/>
        <w:spacing w:line="600" w:lineRule="exact"/>
        <w:jc w:val="left"/>
        <w:rPr>
          <w:rFonts w:hint="eastAsia" w:ascii="Times New Roman" w:hAnsi="Times New Roman" w:eastAsia="黑体"/>
          <w:sz w:val="32"/>
          <w:szCs w:val="32"/>
        </w:rPr>
      </w:pPr>
    </w:p>
    <w:p>
      <w:pPr>
        <w:widowControl/>
        <w:spacing w:line="600" w:lineRule="exact"/>
        <w:jc w:val="left"/>
        <w:rPr>
          <w:rFonts w:ascii="Times New Roman" w:hAnsi="Times New Roman" w:eastAsia="黑体"/>
          <w:sz w:val="32"/>
          <w:szCs w:val="32"/>
        </w:rPr>
      </w:pPr>
    </w:p>
    <w:p>
      <w:pPr>
        <w:widowControl/>
        <w:spacing w:line="600" w:lineRule="exact"/>
        <w:jc w:val="left"/>
        <w:rPr>
          <w:rFonts w:ascii="Times New Roman" w:hAnsi="Times New Roman" w:eastAsia="黑体"/>
          <w:sz w:val="32"/>
          <w:szCs w:val="32"/>
        </w:rPr>
      </w:pPr>
    </w:p>
    <w:p>
      <w:pPr>
        <w:widowControl/>
        <w:spacing w:line="600" w:lineRule="exact"/>
        <w:jc w:val="left"/>
        <w:rPr>
          <w:rFonts w:ascii="Times New Roman" w:hAnsi="Times New Roman" w:eastAsia="黑体"/>
          <w:sz w:val="32"/>
          <w:szCs w:val="32"/>
        </w:rPr>
      </w:pPr>
      <w:r>
        <w:rPr>
          <w:rFonts w:ascii="Times New Roman" w:hAnsi="Times New Roman" w:eastAsia="黑体"/>
          <w:sz w:val="32"/>
          <w:szCs w:val="32"/>
        </w:rPr>
        <w:t>附件</w:t>
      </w:r>
      <w:r>
        <w:rPr>
          <w:rFonts w:hint="eastAsia" w:ascii="Times New Roman" w:hAnsi="Times New Roman" w:eastAsia="黑体"/>
          <w:sz w:val="32"/>
          <w:szCs w:val="32"/>
        </w:rPr>
        <w:t>5</w:t>
      </w:r>
    </w:p>
    <w:p>
      <w:pPr>
        <w:widowControl/>
        <w:spacing w:line="600" w:lineRule="exact"/>
        <w:jc w:val="center"/>
        <w:rPr>
          <w:rFonts w:ascii="Times New Roman" w:hAnsi="Times New Roman" w:eastAsia="方正小标宋_GBK"/>
          <w:color w:val="000000"/>
          <w:sz w:val="36"/>
          <w:szCs w:val="36"/>
        </w:rPr>
      </w:pPr>
      <w:r>
        <w:rPr>
          <w:rFonts w:ascii="Times New Roman" w:hAnsi="Times New Roman" w:eastAsia="方正小标宋_GBK"/>
          <w:color w:val="000000"/>
          <w:sz w:val="36"/>
          <w:szCs w:val="36"/>
        </w:rPr>
        <w:t>2021年度项目支出绩效自评表</w:t>
      </w:r>
    </w:p>
    <w:tbl>
      <w:tblPr>
        <w:tblStyle w:val="7"/>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trHeight w:val="433"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项目支</w:t>
            </w:r>
          </w:p>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sz w:val="20"/>
                <w:szCs w:val="20"/>
              </w:rPr>
            </w:pPr>
            <w:r>
              <w:rPr>
                <w:rFonts w:hint="eastAsia" w:eastAsia="仿宋" w:cs="仿宋"/>
                <w:sz w:val="18"/>
                <w:szCs w:val="18"/>
              </w:rPr>
              <w:t>湘南起义纪念馆布展及消防工程</w:t>
            </w:r>
            <w:r>
              <w:rPr>
                <w:rFonts w:ascii="Times New Roman" w:hAnsi="Times New Roman" w:eastAsia="仿宋_GB2312"/>
                <w:color w:val="000000"/>
                <w:sz w:val="20"/>
                <w:szCs w:val="20"/>
              </w:rPr>
              <w:t>　</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ascii="Times New Roman" w:hAnsi="Times New Roman" w:eastAsia="仿宋_GB2312"/>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sz w:val="18"/>
                <w:szCs w:val="18"/>
              </w:rPr>
              <w:t>郴州市文化旅游广电体育局</w:t>
            </w:r>
          </w:p>
        </w:tc>
        <w:tc>
          <w:tcPr>
            <w:tcW w:w="1134" w:type="dxa"/>
            <w:tcBorders>
              <w:top w:val="single" w:color="auto" w:sz="4" w:space="0"/>
              <w:left w:val="nil"/>
              <w:bottom w:val="single" w:color="auto" w:sz="4" w:space="0"/>
              <w:right w:val="single" w:color="000000" w:sz="4" w:space="0"/>
            </w:tcBorders>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郴州市烈士公园（湘南起义纪念馆）</w:t>
            </w:r>
          </w:p>
        </w:tc>
      </w:tr>
      <w:tr>
        <w:tblPrEx>
          <w:tblCellMar>
            <w:top w:w="0" w:type="dxa"/>
            <w:left w:w="108" w:type="dxa"/>
            <w:bottom w:w="0" w:type="dxa"/>
            <w:right w:w="108" w:type="dxa"/>
          </w:tblCellMar>
        </w:tblPrEx>
        <w:trPr>
          <w:trHeight w:val="458" w:hRule="atLeast"/>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Times New Roman" w:hAnsi="Times New Roman" w:eastAsia="仿宋_GB2312"/>
                <w:color w:val="000000"/>
                <w:sz w:val="20"/>
                <w:szCs w:val="20"/>
              </w:rPr>
            </w:pPr>
            <w:r>
              <w:rPr>
                <w:rFonts w:ascii="Times New Roman" w:hAnsi="Times New Roman" w:eastAsia="仿宋_GB2312"/>
                <w:color w:val="000000"/>
                <w:sz w:val="20"/>
                <w:szCs w:val="20"/>
              </w:rPr>
              <w:t>项目资金</w:t>
            </w:r>
          </w:p>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（万元）</w:t>
            </w:r>
          </w:p>
        </w:tc>
        <w:tc>
          <w:tcPr>
            <w:tcW w:w="216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p>
        </w:tc>
        <w:tc>
          <w:tcPr>
            <w:tcW w:w="122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年初</w:t>
            </w:r>
          </w:p>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全年</w:t>
            </w:r>
          </w:p>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sz w:val="20"/>
                <w:szCs w:val="20"/>
              </w:rPr>
            </w:pPr>
            <w:r>
              <w:rPr>
                <w:rFonts w:ascii="Times New Roman" w:hAnsi="Times New Roman" w:eastAsia="仿宋_GB2312"/>
                <w:sz w:val="20"/>
                <w:szCs w:val="20"/>
              </w:rPr>
              <w:t>全年</w:t>
            </w:r>
          </w:p>
          <w:p>
            <w:pPr>
              <w:jc w:val="center"/>
              <w:rPr>
                <w:rFonts w:ascii="Times New Roman" w:hAnsi="Times New Roman" w:eastAsia="仿宋_GB2312"/>
                <w:sz w:val="20"/>
                <w:szCs w:val="20"/>
              </w:rPr>
            </w:pPr>
            <w:r>
              <w:rPr>
                <w:rFonts w:ascii="Times New Roman" w:hAnsi="Times New Roman" w:eastAsia="仿宋_GB2312"/>
                <w:sz w:val="20"/>
                <w:szCs w:val="20"/>
              </w:rPr>
              <w:t>执行数</w:t>
            </w:r>
          </w:p>
        </w:tc>
        <w:tc>
          <w:tcPr>
            <w:tcW w:w="828"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sz w:val="20"/>
                <w:szCs w:val="20"/>
              </w:rPr>
            </w:pPr>
            <w:r>
              <w:rPr>
                <w:rFonts w:ascii="Times New Roman" w:hAnsi="Times New Roman" w:eastAsia="仿宋_GB2312"/>
                <w:sz w:val="20"/>
                <w:szCs w:val="20"/>
              </w:rPr>
              <w:t>分值</w:t>
            </w:r>
          </w:p>
        </w:tc>
        <w:tc>
          <w:tcPr>
            <w:tcW w:w="873"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sz w:val="20"/>
                <w:szCs w:val="20"/>
              </w:rPr>
            </w:pPr>
            <w:r>
              <w:rPr>
                <w:rFonts w:ascii="Times New Roman" w:hAnsi="Times New Roman" w:eastAsia="仿宋_GB2312"/>
                <w:sz w:val="20"/>
                <w:szCs w:val="20"/>
              </w:rPr>
              <w:t>执行率</w:t>
            </w:r>
          </w:p>
        </w:tc>
        <w:tc>
          <w:tcPr>
            <w:tcW w:w="1418"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sz w:val="20"/>
                <w:szCs w:val="20"/>
              </w:rPr>
            </w:pPr>
            <w:r>
              <w:rPr>
                <w:rFonts w:ascii="Times New Roman" w:hAnsi="Times New Roman" w:eastAsia="仿宋_GB2312"/>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ascii="Times New Roman" w:hAnsi="Times New Roman" w:eastAsia="仿宋_GB2312"/>
                <w:color w:val="000000"/>
                <w:sz w:val="20"/>
                <w:szCs w:val="20"/>
              </w:rPr>
              <w:t>年度资金总额　</w:t>
            </w:r>
          </w:p>
        </w:tc>
        <w:tc>
          <w:tcPr>
            <w:tcW w:w="122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0</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91.75</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hint="eastAsia" w:ascii="Times New Roman" w:hAnsi="Times New Roman" w:eastAsia="仿宋_GB2312"/>
                <w:color w:val="000000"/>
                <w:sz w:val="20"/>
                <w:szCs w:val="20"/>
              </w:rPr>
              <w:t>91.75</w:t>
            </w:r>
            <w:r>
              <w:rPr>
                <w:rFonts w:ascii="Times New Roman" w:hAnsi="Times New Roman" w:eastAsia="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ascii="Times New Roman" w:hAnsi="Times New Roman" w:eastAsia="仿宋_GB2312"/>
                <w:color w:val="000000"/>
                <w:sz w:val="20"/>
                <w:szCs w:val="20"/>
              </w:rPr>
              <w:t>　10</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hint="eastAsia" w:ascii="Times New Roman" w:hAnsi="Times New Roman" w:eastAsia="仿宋_GB2312"/>
                <w:color w:val="000000"/>
                <w:sz w:val="20"/>
                <w:szCs w:val="20"/>
              </w:rPr>
              <w:t>100%</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ascii="Times New Roman" w:hAnsi="Times New Roman" w:eastAsia="仿宋_GB2312"/>
                <w:color w:val="000000"/>
                <w:sz w:val="20"/>
                <w:szCs w:val="20"/>
              </w:rPr>
              <w:t>其中：当年财政拨款　</w:t>
            </w:r>
          </w:p>
        </w:tc>
        <w:tc>
          <w:tcPr>
            <w:tcW w:w="122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6.22</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hint="eastAsia" w:ascii="Times New Roman" w:hAnsi="Times New Roman" w:eastAsia="仿宋_GB2312"/>
                <w:color w:val="000000"/>
                <w:sz w:val="20"/>
                <w:szCs w:val="20"/>
              </w:rPr>
              <w:t>91.75</w:t>
            </w:r>
            <w:r>
              <w:rPr>
                <w:rFonts w:ascii="Times New Roman" w:hAnsi="Times New Roman" w:eastAsia="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ascii="Times New Roman" w:hAnsi="Times New Roman" w:eastAsia="仿宋_GB2312"/>
                <w:color w:val="000000"/>
                <w:sz w:val="20"/>
                <w:szCs w:val="20"/>
              </w:rPr>
              <w:t>　10</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hint="eastAsia" w:ascii="Times New Roman" w:hAnsi="Times New Roman" w:eastAsia="仿宋_GB2312"/>
                <w:color w:val="000000"/>
                <w:sz w:val="20"/>
                <w:szCs w:val="20"/>
              </w:rPr>
              <w:t>100%</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widowControl/>
              <w:ind w:firstLine="600" w:firstLineChars="300"/>
              <w:jc w:val="left"/>
              <w:rPr>
                <w:rFonts w:ascii="Times New Roman" w:hAnsi="Times New Roman" w:eastAsia="仿宋_GB2312"/>
                <w:color w:val="000000"/>
                <w:sz w:val="20"/>
                <w:szCs w:val="20"/>
              </w:rPr>
            </w:pPr>
            <w:r>
              <w:rPr>
                <w:rFonts w:ascii="Times New Roman" w:hAnsi="Times New Roman" w:eastAsia="仿宋_GB2312"/>
                <w:color w:val="000000"/>
                <w:sz w:val="20"/>
                <w:szCs w:val="20"/>
              </w:rPr>
              <w:t>上年结转资金　</w:t>
            </w:r>
          </w:p>
        </w:tc>
        <w:tc>
          <w:tcPr>
            <w:tcW w:w="122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59.12</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59.12</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widowControl/>
              <w:ind w:firstLine="600" w:firstLineChars="300"/>
              <w:jc w:val="left"/>
              <w:rPr>
                <w:rFonts w:ascii="Times New Roman" w:hAnsi="Times New Roman" w:eastAsia="仿宋_GB2312"/>
                <w:color w:val="000000"/>
                <w:sz w:val="20"/>
                <w:szCs w:val="20"/>
              </w:rPr>
            </w:pPr>
            <w:r>
              <w:rPr>
                <w:rFonts w:ascii="Times New Roman" w:hAnsi="Times New Roman" w:eastAsia="仿宋_GB2312"/>
                <w:color w:val="000000"/>
                <w:sz w:val="20"/>
                <w:szCs w:val="20"/>
              </w:rPr>
              <w:t>其他资金</w:t>
            </w:r>
          </w:p>
        </w:tc>
        <w:tc>
          <w:tcPr>
            <w:tcW w:w="122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26.41</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26.41</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olor w:val="000000"/>
                <w:sz w:val="20"/>
                <w:szCs w:val="20"/>
              </w:rPr>
            </w:pPr>
          </w:p>
        </w:tc>
        <w:tc>
          <w:tcPr>
            <w:tcW w:w="4518"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olor w:val="000000"/>
                <w:sz w:val="20"/>
                <w:szCs w:val="20"/>
              </w:rPr>
            </w:pPr>
            <w:r>
              <w:rPr>
                <w:rFonts w:hint="eastAsia" w:ascii="Times New Roman" w:hAnsi="Times New Roman" w:eastAsia="仿宋_GB2312"/>
                <w:color w:val="000000"/>
                <w:sz w:val="20"/>
                <w:szCs w:val="20"/>
              </w:rPr>
              <w:t>对纪念馆进行提质改造、纪念馆展厅开展陈列布展、完善消防工程</w:t>
            </w:r>
            <w:r>
              <w:rPr>
                <w:rFonts w:ascii="Times New Roman" w:hAnsi="Times New Roman" w:eastAsia="仿宋_GB2312"/>
                <w:color w:val="000000"/>
                <w:sz w:val="20"/>
                <w:szCs w:val="20"/>
              </w:rPr>
              <w:t>　　</w:t>
            </w:r>
          </w:p>
        </w:tc>
        <w:tc>
          <w:tcPr>
            <w:tcW w:w="4253"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对纪念馆进行提质改造、纪念馆展厅开展陈列布展、完善消防工程</w:t>
            </w:r>
            <w:r>
              <w:rPr>
                <w:rFonts w:ascii="Times New Roman" w:hAnsi="Times New Roman" w:eastAsia="仿宋_GB2312"/>
                <w:color w:val="000000"/>
                <w:sz w:val="20"/>
                <w:szCs w:val="20"/>
              </w:rPr>
              <w:t>　</w:t>
            </w:r>
          </w:p>
        </w:tc>
      </w:tr>
      <w:tr>
        <w:tblPrEx>
          <w:tblCellMar>
            <w:top w:w="0" w:type="dxa"/>
            <w:left w:w="108" w:type="dxa"/>
            <w:bottom w:w="0" w:type="dxa"/>
            <w:right w:w="108" w:type="dxa"/>
          </w:tblCellMar>
        </w:tblPrEx>
        <w:trPr>
          <w:trHeight w:val="683" w:hRule="atLeast"/>
          <w:jc w:val="center"/>
        </w:trPr>
        <w:tc>
          <w:tcPr>
            <w:tcW w:w="1080" w:type="dxa"/>
            <w:vMerge w:val="restart"/>
            <w:tcBorders>
              <w:top w:val="nil"/>
              <w:left w:val="single" w:color="auto" w:sz="4" w:space="0"/>
              <w:right w:val="single" w:color="auto" w:sz="4" w:space="0"/>
            </w:tcBorders>
            <w:noWrap w:val="0"/>
            <w:vAlign w:val="center"/>
          </w:tcPr>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绩</w:t>
            </w:r>
          </w:p>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效</w:t>
            </w:r>
          </w:p>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指</w:t>
            </w:r>
          </w:p>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标</w:t>
            </w: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一级指标</w:t>
            </w: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二级指标</w:t>
            </w:r>
          </w:p>
        </w:tc>
        <w:tc>
          <w:tcPr>
            <w:tcW w:w="122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三级指标</w:t>
            </w:r>
          </w:p>
        </w:tc>
        <w:tc>
          <w:tcPr>
            <w:tcW w:w="113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年度</w:t>
            </w:r>
          </w:p>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指标值</w:t>
            </w:r>
          </w:p>
        </w:tc>
        <w:tc>
          <w:tcPr>
            <w:tcW w:w="113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实际</w:t>
            </w:r>
          </w:p>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完成值</w:t>
            </w:r>
          </w:p>
        </w:tc>
        <w:tc>
          <w:tcPr>
            <w:tcW w:w="82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分值</w:t>
            </w:r>
          </w:p>
        </w:tc>
        <w:tc>
          <w:tcPr>
            <w:tcW w:w="87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得分</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偏差原因</w:t>
            </w:r>
          </w:p>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分析及</w:t>
            </w:r>
          </w:p>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olor w:val="000000"/>
                <w:sz w:val="20"/>
                <w:szCs w:val="20"/>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产出指标</w:t>
            </w:r>
          </w:p>
          <w:p>
            <w:pPr>
              <w:widowControl/>
              <w:jc w:val="center"/>
              <w:rPr>
                <w:rFonts w:ascii="Times New Roman" w:hAnsi="Times New Roman" w:eastAsia="仿宋_GB2312"/>
                <w:color w:val="000000"/>
                <w:sz w:val="20"/>
                <w:szCs w:val="20"/>
              </w:rPr>
            </w:pPr>
          </w:p>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(50分)</w:t>
            </w:r>
          </w:p>
        </w:tc>
        <w:tc>
          <w:tcPr>
            <w:tcW w:w="1080" w:type="dxa"/>
            <w:vMerge w:val="restart"/>
            <w:tcBorders>
              <w:top w:val="nil"/>
              <w:left w:val="nil"/>
              <w:right w:val="single" w:color="auto" w:sz="4" w:space="0"/>
            </w:tcBorders>
            <w:noWrap w:val="0"/>
            <w:vAlign w:val="center"/>
          </w:tcPr>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数量指标</w:t>
            </w:r>
          </w:p>
        </w:tc>
        <w:tc>
          <w:tcPr>
            <w:tcW w:w="1224"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纪念馆布展工程完工率</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hint="eastAsia" w:ascii="Times New Roman" w:hAnsi="Times New Roman" w:eastAsia="仿宋_GB2312"/>
                <w:color w:val="000000"/>
                <w:sz w:val="20"/>
                <w:szCs w:val="20"/>
              </w:rPr>
              <w:t>95%</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hint="eastAsia" w:ascii="Times New Roman" w:hAnsi="Times New Roman" w:eastAsia="仿宋_GB2312"/>
                <w:color w:val="000000"/>
                <w:sz w:val="20"/>
                <w:szCs w:val="20"/>
              </w:rPr>
              <w:t>95%</w:t>
            </w:r>
          </w:p>
        </w:tc>
        <w:tc>
          <w:tcPr>
            <w:tcW w:w="828"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9</w:t>
            </w:r>
          </w:p>
        </w:tc>
        <w:tc>
          <w:tcPr>
            <w:tcW w:w="873"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9</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000000"/>
                <w:sz w:val="20"/>
                <w:szCs w:val="20"/>
              </w:rPr>
            </w:pPr>
          </w:p>
        </w:tc>
        <w:tc>
          <w:tcPr>
            <w:tcW w:w="1080" w:type="dxa"/>
            <w:vMerge w:val="continue"/>
            <w:tcBorders>
              <w:left w:val="nil"/>
              <w:right w:val="single" w:color="auto" w:sz="4" w:space="0"/>
            </w:tcBorders>
            <w:noWrap w:val="0"/>
            <w:vAlign w:val="center"/>
          </w:tcPr>
          <w:p>
            <w:pPr>
              <w:jc w:val="center"/>
              <w:rPr>
                <w:rFonts w:ascii="Times New Roman" w:hAnsi="Times New Roman" w:eastAsia="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消防工程完工率</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hint="eastAsia" w:ascii="Times New Roman" w:hAnsi="Times New Roman" w:eastAsia="仿宋_GB2312"/>
                <w:color w:val="000000"/>
                <w:sz w:val="20"/>
                <w:szCs w:val="20"/>
              </w:rPr>
              <w:t>95%</w:t>
            </w:r>
            <w:r>
              <w:rPr>
                <w:rFonts w:ascii="Times New Roman" w:hAnsi="Times New Roman" w:eastAsia="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hint="eastAsia" w:ascii="Times New Roman" w:hAnsi="Times New Roman" w:eastAsia="仿宋_GB2312"/>
                <w:color w:val="000000"/>
                <w:sz w:val="20"/>
                <w:szCs w:val="20"/>
              </w:rPr>
              <w:t>95%</w:t>
            </w:r>
            <w:r>
              <w:rPr>
                <w:rFonts w:ascii="Times New Roman" w:hAnsi="Times New Roman" w:eastAsia="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9</w:t>
            </w:r>
          </w:p>
        </w:tc>
        <w:tc>
          <w:tcPr>
            <w:tcW w:w="873"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 xml:space="preserve">  9</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p>
        </w:tc>
      </w:tr>
      <w:tr>
        <w:tblPrEx>
          <w:tblCellMar>
            <w:top w:w="0" w:type="dxa"/>
            <w:left w:w="108" w:type="dxa"/>
            <w:bottom w:w="0" w:type="dxa"/>
            <w:right w:w="108" w:type="dxa"/>
          </w:tblCellMar>
        </w:tblPrEx>
        <w:trPr>
          <w:trHeight w:val="800" w:hRule="atLeast"/>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000000"/>
                <w:sz w:val="20"/>
                <w:szCs w:val="20"/>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质量指标</w:t>
            </w:r>
          </w:p>
        </w:tc>
        <w:tc>
          <w:tcPr>
            <w:tcW w:w="1224"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纪念馆布展工程验收合格率</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hint="eastAsia" w:ascii="Times New Roman" w:hAnsi="Times New Roman" w:eastAsia="仿宋_GB2312"/>
                <w:color w:val="000000"/>
                <w:sz w:val="20"/>
                <w:szCs w:val="20"/>
              </w:rPr>
              <w:t>95%</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hint="eastAsia" w:ascii="Times New Roman" w:hAnsi="Times New Roman" w:eastAsia="仿宋_GB2312"/>
                <w:color w:val="000000"/>
                <w:sz w:val="20"/>
                <w:szCs w:val="20"/>
              </w:rPr>
              <w:t>95%</w:t>
            </w:r>
          </w:p>
        </w:tc>
        <w:tc>
          <w:tcPr>
            <w:tcW w:w="828"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6</w:t>
            </w:r>
          </w:p>
        </w:tc>
        <w:tc>
          <w:tcPr>
            <w:tcW w:w="873"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6</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消防工程验收合格率</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hint="eastAsia" w:ascii="Times New Roman" w:hAnsi="Times New Roman" w:eastAsia="仿宋_GB2312"/>
                <w:color w:val="000000"/>
                <w:sz w:val="20"/>
                <w:szCs w:val="20"/>
              </w:rPr>
              <w:t>95%</w:t>
            </w:r>
            <w:r>
              <w:rPr>
                <w:rFonts w:ascii="Times New Roman" w:hAnsi="Times New Roman" w:eastAsia="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hint="eastAsia" w:ascii="Times New Roman" w:hAnsi="Times New Roman" w:eastAsia="仿宋_GB2312"/>
                <w:color w:val="000000"/>
                <w:sz w:val="20"/>
                <w:szCs w:val="20"/>
              </w:rPr>
              <w:t>95%</w:t>
            </w:r>
            <w:r>
              <w:rPr>
                <w:rFonts w:ascii="Times New Roman" w:hAnsi="Times New Roman" w:eastAsia="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6</w:t>
            </w:r>
          </w:p>
        </w:tc>
        <w:tc>
          <w:tcPr>
            <w:tcW w:w="873"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6</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p>
        </w:tc>
      </w:tr>
      <w:tr>
        <w:tblPrEx>
          <w:tblCellMar>
            <w:top w:w="0" w:type="dxa"/>
            <w:left w:w="108" w:type="dxa"/>
            <w:bottom w:w="0" w:type="dxa"/>
            <w:right w:w="108" w:type="dxa"/>
          </w:tblCellMar>
        </w:tblPrEx>
        <w:trPr>
          <w:trHeight w:val="668" w:hRule="atLeast"/>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000000"/>
                <w:sz w:val="20"/>
                <w:szCs w:val="20"/>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时效指标</w:t>
            </w:r>
          </w:p>
        </w:tc>
        <w:tc>
          <w:tcPr>
            <w:tcW w:w="1224"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纪念馆布展工程完工及时率</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hint="eastAsia" w:ascii="Times New Roman" w:hAnsi="Times New Roman" w:eastAsia="仿宋_GB2312"/>
                <w:color w:val="000000"/>
                <w:sz w:val="20"/>
                <w:szCs w:val="20"/>
              </w:rPr>
              <w:t>95%</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hint="eastAsia" w:ascii="Times New Roman" w:hAnsi="Times New Roman" w:eastAsia="仿宋_GB2312"/>
                <w:color w:val="000000"/>
                <w:sz w:val="20"/>
                <w:szCs w:val="20"/>
              </w:rPr>
              <w:t>95%</w:t>
            </w:r>
          </w:p>
        </w:tc>
        <w:tc>
          <w:tcPr>
            <w:tcW w:w="828"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5</w:t>
            </w:r>
          </w:p>
        </w:tc>
        <w:tc>
          <w:tcPr>
            <w:tcW w:w="873"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5</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消防工程完工及时率</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hint="eastAsia" w:ascii="Times New Roman" w:hAnsi="Times New Roman" w:eastAsia="仿宋_GB2312"/>
                <w:color w:val="000000"/>
                <w:sz w:val="20"/>
                <w:szCs w:val="20"/>
              </w:rPr>
              <w:t>95%</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hint="eastAsia" w:ascii="Times New Roman" w:hAnsi="Times New Roman" w:eastAsia="仿宋_GB2312"/>
                <w:color w:val="000000"/>
                <w:sz w:val="20"/>
                <w:szCs w:val="20"/>
              </w:rPr>
              <w:t>95%</w:t>
            </w:r>
          </w:p>
        </w:tc>
        <w:tc>
          <w:tcPr>
            <w:tcW w:w="828"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5</w:t>
            </w:r>
          </w:p>
        </w:tc>
        <w:tc>
          <w:tcPr>
            <w:tcW w:w="873"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5</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开展陈列布展及时率</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hint="eastAsia" w:ascii="Times New Roman" w:hAnsi="Times New Roman" w:eastAsia="仿宋_GB2312"/>
                <w:color w:val="000000"/>
                <w:sz w:val="20"/>
                <w:szCs w:val="20"/>
              </w:rPr>
              <w:t>2021年12月以前</w:t>
            </w:r>
            <w:r>
              <w:rPr>
                <w:rFonts w:ascii="Times New Roman" w:hAnsi="Times New Roman" w:eastAsia="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hint="eastAsia" w:ascii="Times New Roman" w:hAnsi="Times New Roman" w:eastAsia="仿宋_GB2312"/>
                <w:color w:val="000000"/>
                <w:sz w:val="20"/>
                <w:szCs w:val="20"/>
              </w:rPr>
              <w:t>2021年12月以前</w:t>
            </w:r>
            <w:r>
              <w:rPr>
                <w:rFonts w:ascii="Times New Roman" w:hAnsi="Times New Roman" w:eastAsia="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5</w:t>
            </w:r>
          </w:p>
        </w:tc>
        <w:tc>
          <w:tcPr>
            <w:tcW w:w="873"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5</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000000"/>
                <w:sz w:val="20"/>
                <w:szCs w:val="20"/>
              </w:rPr>
            </w:pPr>
          </w:p>
        </w:tc>
        <w:tc>
          <w:tcPr>
            <w:tcW w:w="108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成本指标</w:t>
            </w:r>
          </w:p>
        </w:tc>
        <w:tc>
          <w:tcPr>
            <w:tcW w:w="122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hint="eastAsia" w:ascii="Times New Roman" w:hAnsi="Times New Roman" w:eastAsia="仿宋_GB2312"/>
                <w:color w:val="000000"/>
                <w:sz w:val="18"/>
                <w:szCs w:val="18"/>
              </w:rPr>
              <w:t>预算成本控制情况</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hint="eastAsia" w:ascii="Times New Roman" w:hAnsi="Times New Roman" w:eastAsia="仿宋_GB2312"/>
                <w:color w:val="000000"/>
                <w:sz w:val="20"/>
                <w:szCs w:val="20"/>
              </w:rPr>
              <w:t>91.75万元</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hint="eastAsia" w:ascii="Times New Roman" w:hAnsi="Times New Roman" w:eastAsia="仿宋_GB2312"/>
                <w:color w:val="000000"/>
                <w:sz w:val="20"/>
                <w:szCs w:val="20"/>
              </w:rPr>
              <w:t>91.75万元</w:t>
            </w:r>
            <w:r>
              <w:rPr>
                <w:rFonts w:ascii="Times New Roman" w:hAnsi="Times New Roman" w:eastAsia="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5</w:t>
            </w:r>
          </w:p>
        </w:tc>
        <w:tc>
          <w:tcPr>
            <w:tcW w:w="873"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5</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p>
        </w:tc>
      </w:tr>
      <w:tr>
        <w:tblPrEx>
          <w:tblCellMar>
            <w:top w:w="0" w:type="dxa"/>
            <w:left w:w="108" w:type="dxa"/>
            <w:bottom w:w="0" w:type="dxa"/>
            <w:right w:w="108" w:type="dxa"/>
          </w:tblCellMar>
        </w:tblPrEx>
        <w:trPr>
          <w:trHeight w:val="453" w:hRule="atLeast"/>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olor w:val="000000"/>
                <w:sz w:val="20"/>
                <w:szCs w:val="20"/>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r>
              <w:rPr>
                <w:rFonts w:ascii="Times New Roman" w:hAnsi="Times New Roman" w:eastAsia="仿宋_GB2312"/>
                <w:color w:val="000000"/>
                <w:sz w:val="20"/>
                <w:szCs w:val="20"/>
              </w:rPr>
              <w:t>效益指标</w:t>
            </w:r>
          </w:p>
          <w:p>
            <w:pPr>
              <w:widowControl/>
              <w:jc w:val="left"/>
              <w:rPr>
                <w:rFonts w:ascii="Times New Roman" w:hAnsi="Times New Roman" w:eastAsia="仿宋_GB2312"/>
                <w:color w:val="000000"/>
                <w:sz w:val="20"/>
                <w:szCs w:val="20"/>
              </w:rPr>
            </w:pPr>
          </w:p>
          <w:p>
            <w:pPr>
              <w:widowControl/>
              <w:jc w:val="left"/>
              <w:rPr>
                <w:rFonts w:ascii="Times New Roman" w:hAnsi="Times New Roman" w:eastAsia="仿宋_GB2312"/>
                <w:color w:val="000000"/>
                <w:sz w:val="20"/>
                <w:szCs w:val="20"/>
              </w:rPr>
            </w:pPr>
            <w:r>
              <w:rPr>
                <w:rFonts w:ascii="Times New Roman" w:hAnsi="Times New Roman" w:eastAsia="仿宋_GB2312"/>
                <w:color w:val="000000"/>
                <w:sz w:val="20"/>
                <w:szCs w:val="20"/>
              </w:rPr>
              <w:t>（30分）</w:t>
            </w:r>
          </w:p>
          <w:p>
            <w:pPr>
              <w:widowControl/>
              <w:jc w:val="left"/>
              <w:rPr>
                <w:rFonts w:ascii="Times New Roman" w:hAnsi="Times New Roman" w:eastAsia="仿宋_GB2312"/>
                <w:color w:val="000000"/>
                <w:sz w:val="20"/>
                <w:szCs w:val="20"/>
              </w:rPr>
            </w:pPr>
            <w:r>
              <w:rPr>
                <w:rFonts w:ascii="Times New Roman" w:hAnsi="Times New Roman" w:eastAsia="仿宋_GB2312"/>
                <w:color w:val="000000"/>
                <w:sz w:val="20"/>
                <w:szCs w:val="20"/>
              </w:rPr>
              <w:t>　</w:t>
            </w: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仿宋_GB2312"/>
                <w:color w:val="000000"/>
                <w:sz w:val="20"/>
                <w:szCs w:val="20"/>
              </w:rPr>
            </w:pPr>
            <w:r>
              <w:rPr>
                <w:rFonts w:ascii="Times New Roman" w:hAnsi="Times New Roman" w:eastAsia="仿宋_GB2312"/>
                <w:color w:val="000000"/>
                <w:sz w:val="20"/>
                <w:szCs w:val="20"/>
              </w:rPr>
              <w:t>经济效</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仿宋_GB2312"/>
                <w:color w:val="000000"/>
                <w:sz w:val="20"/>
                <w:szCs w:val="20"/>
              </w:rPr>
            </w:pPr>
            <w:r>
              <w:rPr>
                <w:rFonts w:ascii="Times New Roman" w:hAnsi="Times New Roman" w:eastAsia="仿宋_GB2312"/>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不适用</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Times New Roman" w:hAnsi="Times New Roman" w:eastAsia="仿宋_GB2312"/>
                <w:color w:val="000000"/>
                <w:sz w:val="20"/>
                <w:szCs w:val="20"/>
              </w:rPr>
            </w:pPr>
            <w:r>
              <w:rPr>
                <w:rFonts w:ascii="Times New Roman" w:hAnsi="Times New Roman" w:eastAsia="仿宋_GB2312"/>
                <w:color w:val="000000"/>
                <w:sz w:val="20"/>
                <w:szCs w:val="20"/>
              </w:rPr>
              <w:t>　</w:t>
            </w:r>
          </w:p>
        </w:tc>
      </w:tr>
      <w:tr>
        <w:tblPrEx>
          <w:tblCellMar>
            <w:top w:w="0" w:type="dxa"/>
            <w:left w:w="108" w:type="dxa"/>
            <w:bottom w:w="0" w:type="dxa"/>
            <w:right w:w="108" w:type="dxa"/>
          </w:tblCellMar>
        </w:tblPrEx>
        <w:trPr>
          <w:trHeight w:val="698" w:hRule="atLeast"/>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000000"/>
                <w:sz w:val="20"/>
                <w:szCs w:val="20"/>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仿宋_GB2312"/>
                <w:color w:val="000000"/>
                <w:sz w:val="20"/>
                <w:szCs w:val="20"/>
              </w:rPr>
            </w:pPr>
            <w:r>
              <w:rPr>
                <w:rFonts w:ascii="Times New Roman" w:hAnsi="Times New Roman" w:eastAsia="仿宋_GB2312"/>
                <w:color w:val="000000"/>
                <w:sz w:val="20"/>
                <w:szCs w:val="20"/>
              </w:rPr>
              <w:t>社会效</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仿宋_GB2312"/>
                <w:color w:val="000000"/>
                <w:sz w:val="20"/>
                <w:szCs w:val="20"/>
              </w:rPr>
            </w:pPr>
            <w:r>
              <w:rPr>
                <w:rFonts w:ascii="Times New Roman" w:hAnsi="Times New Roman" w:eastAsia="仿宋_GB2312"/>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提高市民游客参观满意度</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Times New Roman" w:hAnsi="Times New Roman" w:eastAsia="仿宋_GB2312"/>
                <w:color w:val="000000"/>
                <w:sz w:val="20"/>
                <w:szCs w:val="20"/>
              </w:rPr>
            </w:pPr>
            <w:r>
              <w:rPr>
                <w:rFonts w:hint="eastAsia" w:ascii="Times New Roman" w:hAnsi="Times New Roman" w:eastAsia="仿宋_GB2312"/>
                <w:color w:val="000000"/>
                <w:sz w:val="20"/>
                <w:szCs w:val="20"/>
              </w:rPr>
              <w:t>提高</w:t>
            </w:r>
            <w:r>
              <w:rPr>
                <w:rFonts w:ascii="Times New Roman" w:hAnsi="Times New Roman" w:eastAsia="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Times New Roman" w:hAnsi="Times New Roman" w:eastAsia="仿宋_GB2312"/>
                <w:color w:val="000000"/>
                <w:sz w:val="20"/>
                <w:szCs w:val="20"/>
              </w:rPr>
            </w:pPr>
            <w:r>
              <w:rPr>
                <w:rFonts w:hint="eastAsia" w:ascii="Times New Roman" w:hAnsi="Times New Roman" w:eastAsia="仿宋_GB2312"/>
                <w:color w:val="000000"/>
                <w:sz w:val="20"/>
                <w:szCs w:val="20"/>
              </w:rPr>
              <w:t>提高</w:t>
            </w:r>
            <w:r>
              <w:rPr>
                <w:rFonts w:ascii="Times New Roman" w:hAnsi="Times New Roman" w:eastAsia="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15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12</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Times New Roman" w:hAnsi="Times New Roman" w:eastAsia="仿宋_GB2312"/>
                <w:color w:val="000000"/>
                <w:sz w:val="20"/>
                <w:szCs w:val="20"/>
              </w:rPr>
            </w:pPr>
            <w:r>
              <w:rPr>
                <w:rFonts w:hint="eastAsia" w:ascii="Times New Roman" w:hAnsi="Times New Roman" w:eastAsia="仿宋_GB2312"/>
                <w:color w:val="000000"/>
                <w:sz w:val="18"/>
                <w:szCs w:val="18"/>
              </w:rPr>
              <w:t>还有很多方面有待提升</w:t>
            </w:r>
          </w:p>
        </w:tc>
      </w:tr>
      <w:tr>
        <w:tblPrEx>
          <w:tblCellMar>
            <w:top w:w="0" w:type="dxa"/>
            <w:left w:w="108" w:type="dxa"/>
            <w:bottom w:w="0" w:type="dxa"/>
            <w:right w:w="108" w:type="dxa"/>
          </w:tblCellMar>
        </w:tblPrEx>
        <w:trPr>
          <w:trHeight w:val="445" w:hRule="atLeast"/>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000000"/>
                <w:sz w:val="20"/>
                <w:szCs w:val="20"/>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仿宋_GB2312"/>
                <w:color w:val="000000"/>
                <w:sz w:val="20"/>
                <w:szCs w:val="20"/>
              </w:rPr>
            </w:pPr>
            <w:r>
              <w:rPr>
                <w:rFonts w:ascii="Times New Roman" w:hAnsi="Times New Roman" w:eastAsia="仿宋_GB2312"/>
                <w:color w:val="000000"/>
                <w:sz w:val="20"/>
                <w:szCs w:val="20"/>
              </w:rPr>
              <w:t>生态效</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仿宋_GB2312"/>
                <w:color w:val="000000"/>
                <w:sz w:val="20"/>
                <w:szCs w:val="20"/>
              </w:rPr>
            </w:pPr>
            <w:r>
              <w:rPr>
                <w:rFonts w:ascii="Times New Roman" w:hAnsi="Times New Roman" w:eastAsia="仿宋_GB2312"/>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不适用</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Times New Roman" w:hAnsi="Times New Roman" w:eastAsia="仿宋_GB2312"/>
                <w:color w:val="000000"/>
                <w:sz w:val="20"/>
                <w:szCs w:val="20"/>
              </w:rPr>
            </w:pPr>
            <w:r>
              <w:rPr>
                <w:rFonts w:ascii="Times New Roman" w:hAnsi="Times New Roman" w:eastAsia="仿宋_GB2312"/>
                <w:color w:val="000000"/>
                <w:sz w:val="20"/>
                <w:szCs w:val="20"/>
              </w:rPr>
              <w:t>　</w:t>
            </w:r>
          </w:p>
        </w:tc>
      </w:tr>
      <w:tr>
        <w:tblPrEx>
          <w:tblCellMar>
            <w:top w:w="0" w:type="dxa"/>
            <w:left w:w="108" w:type="dxa"/>
            <w:bottom w:w="0" w:type="dxa"/>
            <w:right w:w="108" w:type="dxa"/>
          </w:tblCellMar>
        </w:tblPrEx>
        <w:trPr>
          <w:trHeight w:val="268" w:hRule="atLeast"/>
          <w:jc w:val="center"/>
        </w:trPr>
        <w:tc>
          <w:tcPr>
            <w:tcW w:w="1080" w:type="dxa"/>
            <w:vMerge w:val="continue"/>
            <w:tcBorders>
              <w:left w:val="single" w:color="auto" w:sz="4" w:space="0"/>
              <w:right w:val="single" w:color="auto" w:sz="4" w:space="0"/>
            </w:tcBorders>
            <w:noWrap w:val="0"/>
            <w:vAlign w:val="center"/>
          </w:tcPr>
          <w:p>
            <w:pPr>
              <w:widowControl/>
              <w:jc w:val="center"/>
              <w:rPr>
                <w:rFonts w:ascii="Times New Roman" w:hAnsi="Times New Roman" w:eastAsia="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仿宋_GB2312"/>
                <w:color w:val="000000"/>
                <w:sz w:val="20"/>
                <w:szCs w:val="20"/>
              </w:rPr>
            </w:pPr>
            <w:r>
              <w:rPr>
                <w:rFonts w:ascii="Times New Roman" w:hAnsi="Times New Roman" w:eastAsia="仿宋_GB2312"/>
                <w:color w:val="000000"/>
                <w:sz w:val="20"/>
                <w:szCs w:val="20"/>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提高爱教基地影响力</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提高</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有效提高</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15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15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Times New Roman" w:hAnsi="Times New Roman" w:eastAsia="仿宋_GB2312"/>
                <w:color w:val="000000"/>
                <w:sz w:val="20"/>
                <w:szCs w:val="20"/>
              </w:rPr>
            </w:pPr>
            <w:r>
              <w:rPr>
                <w:rFonts w:ascii="Times New Roman" w:hAnsi="Times New Roman" w:eastAsia="仿宋_GB2312"/>
                <w:color w:val="000000"/>
                <w:sz w:val="20"/>
                <w:szCs w:val="20"/>
              </w:rPr>
              <w:t>　</w:t>
            </w:r>
          </w:p>
        </w:tc>
      </w:tr>
      <w:tr>
        <w:tblPrEx>
          <w:tblCellMar>
            <w:top w:w="0" w:type="dxa"/>
            <w:left w:w="108" w:type="dxa"/>
            <w:bottom w:w="0" w:type="dxa"/>
            <w:right w:w="108" w:type="dxa"/>
          </w:tblCellMar>
        </w:tblPrEx>
        <w:trPr>
          <w:trHeight w:val="593" w:hRule="atLeast"/>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olor w:val="000000"/>
                <w:sz w:val="20"/>
                <w:szCs w:val="20"/>
              </w:rPr>
            </w:pPr>
          </w:p>
        </w:tc>
        <w:tc>
          <w:tcPr>
            <w:tcW w:w="108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满意度</w:t>
            </w:r>
          </w:p>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指标</w:t>
            </w:r>
          </w:p>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（10分）</w:t>
            </w: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仿宋_GB2312"/>
                <w:color w:val="000000"/>
                <w:sz w:val="20"/>
                <w:szCs w:val="20"/>
              </w:rPr>
            </w:pPr>
            <w:r>
              <w:rPr>
                <w:rFonts w:ascii="Times New Roman" w:hAnsi="Times New Roman" w:eastAsia="仿宋_GB2312"/>
                <w:color w:val="000000"/>
                <w:sz w:val="20"/>
                <w:szCs w:val="20"/>
              </w:rPr>
              <w:t>服务对象满意度指标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Times New Roman" w:hAnsi="Times New Roman" w:eastAsia="仿宋_GB2312"/>
                <w:color w:val="000000"/>
                <w:sz w:val="20"/>
                <w:szCs w:val="20"/>
              </w:rPr>
            </w:pPr>
            <w:r>
              <w:rPr>
                <w:rFonts w:hint="eastAsia" w:ascii="Times New Roman" w:hAnsi="Times New Roman" w:eastAsia="仿宋_GB2312"/>
                <w:color w:val="000000"/>
                <w:sz w:val="18"/>
                <w:szCs w:val="18"/>
              </w:rPr>
              <w:t>市民游客满意度</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Times New Roman" w:hAnsi="Times New Roman" w:eastAsia="仿宋_GB2312"/>
                <w:color w:val="000000"/>
                <w:sz w:val="20"/>
                <w:szCs w:val="20"/>
              </w:rPr>
            </w:pPr>
            <w:r>
              <w:rPr>
                <w:rFonts w:hint="eastAsia" w:ascii="Times New Roman" w:hAnsi="Times New Roman" w:eastAsia="仿宋_GB2312"/>
                <w:color w:val="000000"/>
                <w:sz w:val="20"/>
                <w:szCs w:val="20"/>
              </w:rPr>
              <w:t>98%</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Times New Roman" w:hAnsi="Times New Roman" w:eastAsia="仿宋_GB2312"/>
                <w:color w:val="000000"/>
                <w:sz w:val="20"/>
                <w:szCs w:val="20"/>
              </w:rPr>
            </w:pPr>
            <w:r>
              <w:rPr>
                <w:rFonts w:hint="eastAsia" w:ascii="Times New Roman" w:hAnsi="Times New Roman" w:eastAsia="仿宋_GB2312"/>
                <w:color w:val="000000"/>
                <w:sz w:val="20"/>
                <w:szCs w:val="20"/>
              </w:rPr>
              <w:t>95%</w:t>
            </w:r>
            <w:r>
              <w:rPr>
                <w:rFonts w:ascii="Times New Roman" w:hAnsi="Times New Roman" w:eastAsia="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8</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Times New Roman" w:hAnsi="Times New Roman" w:eastAsia="仿宋_GB2312"/>
                <w:color w:val="000000"/>
                <w:sz w:val="20"/>
                <w:szCs w:val="20"/>
              </w:rPr>
            </w:pPr>
            <w:r>
              <w:rPr>
                <w:rFonts w:hint="eastAsia" w:ascii="Times New Roman" w:hAnsi="Times New Roman" w:eastAsia="仿宋_GB2312"/>
                <w:color w:val="000000"/>
                <w:sz w:val="18"/>
                <w:szCs w:val="18"/>
              </w:rPr>
              <w:t>还有很多方面有待提升</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仿宋_GB2312"/>
                <w:color w:val="000000"/>
                <w:sz w:val="20"/>
                <w:szCs w:val="20"/>
              </w:rPr>
            </w:pPr>
            <w:r>
              <w:rPr>
                <w:rFonts w:ascii="Times New Roman" w:hAnsi="Times New Roman" w:eastAsia="仿宋_GB2312"/>
                <w:color w:val="000000"/>
                <w:sz w:val="20"/>
                <w:szCs w:val="20"/>
              </w:rPr>
              <w:t>总分</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仿宋_GB2312"/>
                <w:color w:val="000000"/>
                <w:sz w:val="20"/>
                <w:szCs w:val="20"/>
              </w:rPr>
            </w:pPr>
            <w:r>
              <w:rPr>
                <w:rFonts w:ascii="Times New Roman" w:hAnsi="Times New Roman" w:eastAsia="仿宋_GB2312"/>
                <w:color w:val="000000"/>
                <w:sz w:val="20"/>
                <w:szCs w:val="20"/>
              </w:rPr>
              <w:t>100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Times New Roman" w:hAnsi="Times New Roman" w:eastAsia="仿宋_GB2312"/>
                <w:color w:val="000000"/>
                <w:sz w:val="20"/>
                <w:szCs w:val="20"/>
              </w:rPr>
            </w:pPr>
            <w:r>
              <w:rPr>
                <w:rFonts w:ascii="Times New Roman" w:hAnsi="Times New Roman" w:eastAsia="仿宋_GB2312"/>
                <w:color w:val="000000"/>
                <w:sz w:val="20"/>
                <w:szCs w:val="20"/>
              </w:rPr>
              <w:t>　</w:t>
            </w:r>
            <w:r>
              <w:rPr>
                <w:rFonts w:hint="eastAsia" w:ascii="Times New Roman" w:hAnsi="Times New Roman" w:eastAsia="仿宋_GB2312"/>
                <w:color w:val="000000"/>
                <w:sz w:val="20"/>
                <w:szCs w:val="20"/>
              </w:rPr>
              <w:t>95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Times New Roman" w:hAnsi="Times New Roman" w:eastAsia="仿宋_GB2312"/>
                <w:color w:val="000000"/>
                <w:sz w:val="20"/>
                <w:szCs w:val="20"/>
              </w:rPr>
            </w:pPr>
            <w:r>
              <w:rPr>
                <w:rFonts w:ascii="Times New Roman" w:hAnsi="Times New Roman" w:eastAsia="仿宋_GB2312"/>
                <w:color w:val="000000"/>
                <w:sz w:val="20"/>
                <w:szCs w:val="20"/>
              </w:rPr>
              <w:t>　</w:t>
            </w:r>
          </w:p>
        </w:tc>
      </w:tr>
    </w:tbl>
    <w:p>
      <w:pPr>
        <w:jc w:val="left"/>
        <w:rPr>
          <w:rFonts w:ascii="Times New Roman" w:hAnsi="Times New Roman" w:eastAsia="仿宋_GB2312"/>
          <w:sz w:val="20"/>
          <w:szCs w:val="20"/>
        </w:rPr>
      </w:pPr>
      <w:r>
        <w:rPr>
          <w:rFonts w:ascii="Times New Roman" w:hAnsi="Times New Roman" w:eastAsia="仿宋_GB2312"/>
          <w:sz w:val="20"/>
          <w:szCs w:val="20"/>
        </w:rPr>
        <w:t>备注：</w:t>
      </w:r>
      <w:r>
        <w:rPr>
          <w:rFonts w:hint="eastAsia" w:ascii="Times New Roman" w:hAnsi="Times New Roman" w:eastAsia="仿宋_GB2312"/>
          <w:sz w:val="20"/>
          <w:szCs w:val="20"/>
        </w:rPr>
        <w:t>每个</w:t>
      </w:r>
      <w:r>
        <w:rPr>
          <w:rFonts w:ascii="Times New Roman" w:hAnsi="Times New Roman" w:eastAsia="仿宋_GB2312"/>
          <w:sz w:val="20"/>
          <w:szCs w:val="20"/>
        </w:rPr>
        <w:t>项目支出</w:t>
      </w:r>
      <w:r>
        <w:rPr>
          <w:rFonts w:hint="eastAsia" w:ascii="Times New Roman" w:hAnsi="Times New Roman" w:eastAsia="仿宋_GB2312"/>
          <w:sz w:val="20"/>
          <w:szCs w:val="20"/>
        </w:rPr>
        <w:t>分别填报自评报告和自评</w:t>
      </w:r>
      <w:r>
        <w:rPr>
          <w:rFonts w:ascii="Times New Roman" w:hAnsi="Times New Roman" w:eastAsia="仿宋_GB2312"/>
          <w:sz w:val="20"/>
          <w:szCs w:val="20"/>
        </w:rPr>
        <w:t>表。</w:t>
      </w:r>
    </w:p>
    <w:p>
      <w:pPr>
        <w:jc w:val="left"/>
        <w:rPr>
          <w:rFonts w:ascii="Times New Roman" w:hAnsi="Times New Roman" w:eastAsia="仿宋_GB2312"/>
          <w:sz w:val="22"/>
          <w:szCs w:val="22"/>
        </w:rPr>
      </w:pPr>
    </w:p>
    <w:p>
      <w:pPr>
        <w:pStyle w:val="2"/>
        <w:rPr>
          <w:rFonts w:ascii="Times New Roman" w:hAnsi="Times New Roman" w:eastAsia="黑体"/>
          <w:color w:val="000000"/>
          <w:sz w:val="32"/>
          <w:szCs w:val="32"/>
        </w:rPr>
      </w:pPr>
      <w:r>
        <w:rPr>
          <w:rFonts w:ascii="Times New Roman" w:hAnsi="Times New Roman" w:eastAsia="仿宋_GB2312"/>
          <w:sz w:val="22"/>
        </w:rPr>
        <w:t>填表人：</w:t>
      </w:r>
      <w:r>
        <w:rPr>
          <w:rFonts w:hint="eastAsia" w:ascii="Times New Roman" w:hAnsi="Times New Roman" w:eastAsia="仿宋_GB2312"/>
          <w:sz w:val="22"/>
        </w:rPr>
        <w:t>刘青</w:t>
      </w:r>
      <w:r>
        <w:rPr>
          <w:rFonts w:ascii="Times New Roman" w:hAnsi="Times New Roman" w:eastAsia="仿宋_GB2312"/>
          <w:sz w:val="22"/>
        </w:rPr>
        <w:t xml:space="preserve">  填报日期：</w:t>
      </w:r>
      <w:r>
        <w:rPr>
          <w:rFonts w:hint="eastAsia" w:ascii="Times New Roman" w:hAnsi="Times New Roman" w:eastAsia="仿宋_GB2312"/>
          <w:sz w:val="22"/>
        </w:rPr>
        <w:t>2022年4月16日</w:t>
      </w:r>
      <w:r>
        <w:rPr>
          <w:rFonts w:ascii="Times New Roman" w:hAnsi="Times New Roman" w:eastAsia="仿宋_GB2312"/>
          <w:sz w:val="22"/>
        </w:rPr>
        <w:t xml:space="preserve"> 联系电话： </w:t>
      </w:r>
      <w:r>
        <w:rPr>
          <w:rFonts w:hint="eastAsia" w:ascii="Times New Roman" w:hAnsi="Times New Roman" w:eastAsia="仿宋_GB2312"/>
          <w:sz w:val="22"/>
        </w:rPr>
        <w:t>13873563276</w:t>
      </w:r>
      <w:r>
        <w:rPr>
          <w:rFonts w:ascii="Times New Roman" w:hAnsi="Times New Roman" w:eastAsia="仿宋_GB2312"/>
          <w:sz w:val="22"/>
        </w:rPr>
        <w:t xml:space="preserve">  单位负责人签字：</w:t>
      </w:r>
    </w:p>
    <w:p>
      <w:pPr>
        <w:pStyle w:val="2"/>
        <w:rPr>
          <w:rFonts w:ascii="Times New Roman" w:hAnsi="Times New Roman" w:eastAsia="黑体"/>
          <w:color w:val="000000"/>
          <w:sz w:val="32"/>
          <w:szCs w:val="32"/>
        </w:rPr>
      </w:pPr>
    </w:p>
    <w:p>
      <w:pPr>
        <w:spacing w:line="600" w:lineRule="exact"/>
        <w:jc w:val="left"/>
        <w:rPr>
          <w:rFonts w:ascii="Times New Roman" w:hAnsi="Times New Roman" w:eastAsia="黑体"/>
          <w:color w:val="000000"/>
          <w:sz w:val="32"/>
          <w:szCs w:val="32"/>
        </w:rPr>
      </w:pPr>
    </w:p>
    <w:p>
      <w:pPr>
        <w:spacing w:line="600" w:lineRule="exact"/>
        <w:jc w:val="left"/>
        <w:rPr>
          <w:rFonts w:ascii="Times New Roman" w:hAnsi="Times New Roman" w:eastAsia="黑体"/>
          <w:color w:val="000000"/>
          <w:sz w:val="32"/>
          <w:szCs w:val="32"/>
        </w:rPr>
      </w:pPr>
    </w:p>
    <w:p>
      <w:pPr>
        <w:spacing w:line="600" w:lineRule="exact"/>
        <w:jc w:val="left"/>
        <w:rPr>
          <w:rFonts w:ascii="Times New Roman" w:hAnsi="Times New Roman" w:eastAsia="黑体"/>
          <w:color w:val="000000"/>
          <w:sz w:val="32"/>
          <w:szCs w:val="32"/>
        </w:rPr>
      </w:pPr>
    </w:p>
    <w:p>
      <w:pPr>
        <w:spacing w:line="600" w:lineRule="exact"/>
        <w:jc w:val="left"/>
        <w:rPr>
          <w:rFonts w:ascii="Times New Roman" w:hAnsi="Times New Roman" w:eastAsia="黑体"/>
          <w:color w:val="000000"/>
          <w:sz w:val="32"/>
          <w:szCs w:val="32"/>
        </w:rPr>
      </w:pPr>
    </w:p>
    <w:p>
      <w:pPr>
        <w:spacing w:line="600" w:lineRule="exact"/>
        <w:jc w:val="left"/>
        <w:rPr>
          <w:rFonts w:ascii="Times New Roman" w:hAnsi="Times New Roman" w:eastAsia="黑体"/>
          <w:color w:val="000000"/>
          <w:sz w:val="32"/>
          <w:szCs w:val="32"/>
        </w:rPr>
      </w:pPr>
    </w:p>
    <w:p>
      <w:pPr>
        <w:spacing w:line="600" w:lineRule="exact"/>
        <w:jc w:val="left"/>
        <w:rPr>
          <w:rFonts w:ascii="Times New Roman" w:hAnsi="Times New Roman" w:eastAsia="黑体"/>
          <w:color w:val="000000"/>
          <w:sz w:val="32"/>
          <w:szCs w:val="32"/>
        </w:rPr>
      </w:pPr>
    </w:p>
    <w:p>
      <w:pPr>
        <w:jc w:val="left"/>
        <w:rPr>
          <w:rFonts w:ascii="Times New Roman" w:hAnsi="Times New Roman" w:eastAsia="仿宋_GB2312"/>
          <w:sz w:val="22"/>
          <w:szCs w:val="22"/>
        </w:rPr>
      </w:pP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2B2EEB"/>
    <w:multiLevelType w:val="singleLevel"/>
    <w:tmpl w:val="8D2B2EEB"/>
    <w:lvl w:ilvl="0" w:tentative="0">
      <w:start w:val="1"/>
      <w:numFmt w:val="chineseCounting"/>
      <w:suff w:val="nothing"/>
      <w:lvlText w:val="%1、"/>
      <w:lvlJc w:val="left"/>
      <w:rPr>
        <w:rFonts w:hint="eastAsia"/>
      </w:rPr>
    </w:lvl>
  </w:abstractNum>
  <w:abstractNum w:abstractNumId="1">
    <w:nsid w:val="AF72AF86"/>
    <w:multiLevelType w:val="singleLevel"/>
    <w:tmpl w:val="AF72AF86"/>
    <w:lvl w:ilvl="0" w:tentative="0">
      <w:start w:val="8"/>
      <w:numFmt w:val="decimal"/>
      <w:suff w:val="nothing"/>
      <w:lvlText w:val="%1、"/>
      <w:lvlJc w:val="left"/>
    </w:lvl>
  </w:abstractNum>
  <w:abstractNum w:abstractNumId="2">
    <w:nsid w:val="B1C25895"/>
    <w:multiLevelType w:val="singleLevel"/>
    <w:tmpl w:val="B1C25895"/>
    <w:lvl w:ilvl="0" w:tentative="0">
      <w:start w:val="1"/>
      <w:numFmt w:val="decimal"/>
      <w:suff w:val="nothing"/>
      <w:lvlText w:val="%1、"/>
      <w:lvlJc w:val="left"/>
    </w:lvl>
  </w:abstractNum>
  <w:abstractNum w:abstractNumId="3">
    <w:nsid w:val="CBD433A3"/>
    <w:multiLevelType w:val="singleLevel"/>
    <w:tmpl w:val="CBD433A3"/>
    <w:lvl w:ilvl="0" w:tentative="0">
      <w:start w:val="1"/>
      <w:numFmt w:val="decimal"/>
      <w:suff w:val="nothing"/>
      <w:lvlText w:val="%1、"/>
      <w:lvlJc w:val="left"/>
    </w:lvl>
  </w:abstractNum>
  <w:abstractNum w:abstractNumId="4">
    <w:nsid w:val="052990BF"/>
    <w:multiLevelType w:val="singleLevel"/>
    <w:tmpl w:val="052990BF"/>
    <w:lvl w:ilvl="0" w:tentative="0">
      <w:start w:val="1"/>
      <w:numFmt w:val="decimal"/>
      <w:suff w:val="nothing"/>
      <w:lvlText w:val="%1、"/>
      <w:lvlJc w:val="left"/>
    </w:lvl>
  </w:abstractNum>
  <w:abstractNum w:abstractNumId="5">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AA0C6D5"/>
    <w:multiLevelType w:val="singleLevel"/>
    <w:tmpl w:val="5AA0C6D5"/>
    <w:lvl w:ilvl="0" w:tentative="0">
      <w:start w:val="1"/>
      <w:numFmt w:val="decimal"/>
      <w:suff w:val="nothing"/>
      <w:lvlText w:val="%1、"/>
      <w:lvlJc w:val="left"/>
    </w:lvl>
  </w:abstractNum>
  <w:num w:numId="1">
    <w:abstractNumId w:val="5"/>
  </w:num>
  <w:num w:numId="2">
    <w:abstractNumId w:val="4"/>
  </w:num>
  <w:num w:numId="3">
    <w:abstractNumId w:val="1"/>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1OGZiZjMzYTRjODkxN2U0OWQwNTE5MWY0M2ZmNDg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1C3C5F78"/>
    <w:rsid w:val="1D4D5CD3"/>
    <w:rsid w:val="1F7A39BF"/>
    <w:rsid w:val="1FC61D6D"/>
    <w:rsid w:val="21ED428E"/>
    <w:rsid w:val="22BA0C7C"/>
    <w:rsid w:val="247F1BAF"/>
    <w:rsid w:val="261F3F2B"/>
    <w:rsid w:val="34610BE8"/>
    <w:rsid w:val="36C87780"/>
    <w:rsid w:val="39B51F99"/>
    <w:rsid w:val="3C1507B8"/>
    <w:rsid w:val="3CC95987"/>
    <w:rsid w:val="3F605137"/>
    <w:rsid w:val="3F6720C6"/>
    <w:rsid w:val="415306C1"/>
    <w:rsid w:val="439A2A44"/>
    <w:rsid w:val="4AFF7EA0"/>
    <w:rsid w:val="50DC3195"/>
    <w:rsid w:val="51186E7D"/>
    <w:rsid w:val="529C2335"/>
    <w:rsid w:val="587C4FFB"/>
    <w:rsid w:val="60C779B6"/>
    <w:rsid w:val="6954437D"/>
    <w:rsid w:val="6AEC687D"/>
    <w:rsid w:val="6C624941"/>
    <w:rsid w:val="6FE50A20"/>
    <w:rsid w:val="761A13F5"/>
    <w:rsid w:val="7B7DD51A"/>
    <w:rsid w:val="7BCA5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page number"/>
    <w:qFormat/>
    <w:uiPriority w:val="0"/>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3">
    <w:name w:val="List Paragraph"/>
    <w:basedOn w:val="1"/>
    <w:qFormat/>
    <w:uiPriority w:val="34"/>
    <w:pPr>
      <w:ind w:firstLine="420" w:firstLineChars="200"/>
    </w:pPr>
  </w:style>
  <w:style w:type="character" w:customStyle="1" w:styleId="14">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64</Pages>
  <Words>23459</Words>
  <Characters>29003</Characters>
  <Lines>69</Lines>
  <Paragraphs>19</Paragraphs>
  <TotalTime>192</TotalTime>
  <ScaleCrop>false</ScaleCrop>
  <LinksUpToDate>false</LinksUpToDate>
  <CharactersWithSpaces>30993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2020-07-02T10:32:00Z</dcterms:created>
  <dc:creator>李航 null</dc:creator>
  <cp:lastModifiedBy>Administrator</cp:lastModifiedBy>
  <cp:lastPrinted>2022-07-27T20:55:00Z</cp:lastPrinted>
  <dcterms:modified xsi:type="dcterms:W3CDTF">2022-10-08T08:38:39Z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BB6188641FE6491C9E97ECDE350510F5</vt:lpwstr>
  </property>
</Properties>
</file>